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7F090" w14:textId="77777777" w:rsidR="00AB4A68" w:rsidRDefault="00AB4A68" w:rsidP="00AB4A68">
      <w:pPr>
        <w:pStyle w:val="1"/>
        <w:spacing w:line="240" w:lineRule="auto"/>
        <w:jc w:val="center"/>
        <w:rPr>
          <w:rFonts w:ascii="黑体" w:eastAsia="黑体" w:hAnsi="黑体" w:hint="default"/>
          <w:sz w:val="40"/>
          <w:szCs w:val="44"/>
        </w:rPr>
      </w:pPr>
      <w:r w:rsidRPr="00AB4A68">
        <w:rPr>
          <w:rFonts w:ascii="黑体" w:eastAsia="黑体" w:hAnsi="黑体"/>
          <w:sz w:val="40"/>
          <w:szCs w:val="44"/>
        </w:rPr>
        <w:t>行业标准</w:t>
      </w:r>
      <w:r w:rsidR="00F43F9B" w:rsidRPr="00AB4A68">
        <w:rPr>
          <w:rFonts w:ascii="黑体" w:eastAsia="黑体" w:hAnsi="黑体"/>
          <w:sz w:val="40"/>
          <w:szCs w:val="44"/>
        </w:rPr>
        <w:t>《循环共用系统托盘质量要求</w:t>
      </w:r>
      <w:r w:rsidR="00F43F9B" w:rsidRPr="00AB4A68">
        <w:rPr>
          <w:rFonts w:ascii="黑体" w:eastAsia="黑体" w:hAnsi="黑体"/>
          <w:sz w:val="40"/>
          <w:szCs w:val="44"/>
        </w:rPr>
        <w:t>》</w:t>
      </w:r>
    </w:p>
    <w:p w14:paraId="0089B128" w14:textId="06C5CCA1" w:rsidR="00617096" w:rsidRPr="00AB4A68" w:rsidRDefault="00F43F9B" w:rsidP="00AB4A68">
      <w:pPr>
        <w:pStyle w:val="1"/>
        <w:spacing w:line="240" w:lineRule="auto"/>
        <w:jc w:val="center"/>
        <w:rPr>
          <w:rFonts w:ascii="黑体" w:eastAsia="黑体" w:hAnsi="黑体" w:hint="default"/>
          <w:sz w:val="40"/>
          <w:szCs w:val="44"/>
        </w:rPr>
      </w:pPr>
      <w:r w:rsidRPr="00AB4A68">
        <w:rPr>
          <w:rFonts w:ascii="黑体" w:eastAsia="黑体" w:hAnsi="黑体"/>
          <w:sz w:val="40"/>
          <w:szCs w:val="44"/>
        </w:rPr>
        <w:t>（征求意见稿）</w:t>
      </w:r>
      <w:r w:rsidRPr="00AB4A68">
        <w:rPr>
          <w:rFonts w:ascii="黑体" w:eastAsia="黑体" w:hAnsi="黑体"/>
          <w:sz w:val="40"/>
          <w:szCs w:val="44"/>
        </w:rPr>
        <w:t>编制说明</w:t>
      </w:r>
    </w:p>
    <w:p w14:paraId="3D5DF006" w14:textId="77777777" w:rsidR="00617096" w:rsidRDefault="00F43F9B">
      <w:pPr>
        <w:pStyle w:val="1"/>
        <w:widowControl/>
        <w:spacing w:before="0" w:beforeAutospacing="0" w:after="0" w:afterAutospacing="0" w:line="240" w:lineRule="auto"/>
        <w:rPr>
          <w:rFonts w:ascii="黑体" w:eastAsia="黑体" w:hAnsi="黑体" w:cs="黑体" w:hint="default"/>
          <w:b w:val="0"/>
          <w:bCs/>
          <w:kern w:val="2"/>
          <w:sz w:val="32"/>
          <w:szCs w:val="32"/>
        </w:rPr>
      </w:pPr>
      <w:r>
        <w:rPr>
          <w:rFonts w:ascii="黑体" w:eastAsia="黑体" w:hAnsi="黑体" w:cs="黑体"/>
          <w:b w:val="0"/>
          <w:bCs/>
          <w:color w:val="FF0000"/>
          <w:kern w:val="2"/>
          <w:sz w:val="32"/>
          <w:szCs w:val="44"/>
        </w:rPr>
        <w:t xml:space="preserve">    </w:t>
      </w:r>
      <w:r>
        <w:rPr>
          <w:rFonts w:ascii="黑体" w:eastAsia="黑体" w:hAnsi="黑体" w:cs="黑体"/>
          <w:b w:val="0"/>
          <w:bCs/>
          <w:kern w:val="2"/>
          <w:sz w:val="32"/>
          <w:szCs w:val="32"/>
        </w:rPr>
        <w:t>一、项目来源</w:t>
      </w:r>
    </w:p>
    <w:p w14:paraId="57CDDB43" w14:textId="32B70534" w:rsidR="00617096" w:rsidRDefault="00F43F9B">
      <w:pPr>
        <w:pStyle w:val="1"/>
        <w:widowControl/>
        <w:spacing w:before="0" w:beforeAutospacing="0" w:after="0" w:afterAutospacing="0" w:line="240" w:lineRule="auto"/>
        <w:ind w:firstLineChars="200" w:firstLine="640"/>
        <w:jc w:val="both"/>
        <w:rPr>
          <w:rFonts w:ascii="仿宋_GB2312" w:eastAsia="仿宋_GB2312" w:hAnsi="仿宋_GB2312" w:cs="仿宋_GB2312" w:hint="default"/>
          <w:b w:val="0"/>
          <w:bCs/>
          <w:i/>
          <w:kern w:val="2"/>
          <w:sz w:val="32"/>
          <w:szCs w:val="32"/>
        </w:rPr>
      </w:pPr>
      <w:r>
        <w:rPr>
          <w:rFonts w:ascii="仿宋_GB2312" w:eastAsia="仿宋_GB2312" w:hAnsi="仿宋_GB2312" w:cs="仿宋_GB2312"/>
          <w:b w:val="0"/>
          <w:bCs/>
          <w:kern w:val="2"/>
          <w:sz w:val="32"/>
          <w:szCs w:val="32"/>
        </w:rPr>
        <w:t>本文件由中国仓储与配送协会提出，商务部归口管理。</w:t>
      </w:r>
      <w:r>
        <w:rPr>
          <w:rFonts w:ascii="仿宋_GB2312" w:eastAsia="仿宋_GB2312" w:hAnsi="仿宋_GB2312" w:cs="仿宋_GB2312"/>
          <w:b w:val="0"/>
          <w:kern w:val="2"/>
          <w:sz w:val="32"/>
          <w:szCs w:val="32"/>
        </w:rPr>
        <w:t>2017</w:t>
      </w:r>
      <w:r>
        <w:rPr>
          <w:rFonts w:ascii="仿宋_GB2312" w:eastAsia="仿宋_GB2312" w:hAnsi="仿宋_GB2312" w:cs="仿宋_GB2312"/>
          <w:b w:val="0"/>
          <w:kern w:val="2"/>
          <w:sz w:val="32"/>
          <w:szCs w:val="32"/>
        </w:rPr>
        <w:t>年</w:t>
      </w:r>
      <w:r>
        <w:rPr>
          <w:rFonts w:ascii="仿宋_GB2312" w:eastAsia="仿宋_GB2312" w:hAnsi="仿宋_GB2312" w:cs="仿宋_GB2312"/>
          <w:b w:val="0"/>
          <w:kern w:val="2"/>
          <w:sz w:val="32"/>
          <w:szCs w:val="32"/>
        </w:rPr>
        <w:t>6</w:t>
      </w:r>
      <w:r>
        <w:rPr>
          <w:rFonts w:ascii="仿宋_GB2312" w:eastAsia="仿宋_GB2312" w:hAnsi="仿宋_GB2312" w:cs="仿宋_GB2312"/>
          <w:b w:val="0"/>
          <w:kern w:val="2"/>
          <w:sz w:val="32"/>
          <w:szCs w:val="32"/>
        </w:rPr>
        <w:t>月</w:t>
      </w:r>
      <w:r>
        <w:rPr>
          <w:rFonts w:ascii="仿宋_GB2312" w:eastAsia="仿宋_GB2312" w:hAnsi="仿宋_GB2312" w:cs="仿宋_GB2312"/>
          <w:b w:val="0"/>
          <w:kern w:val="2"/>
          <w:sz w:val="32"/>
          <w:szCs w:val="32"/>
        </w:rPr>
        <w:t>，</w:t>
      </w:r>
      <w:r>
        <w:rPr>
          <w:rFonts w:ascii="仿宋_GB2312" w:eastAsia="仿宋_GB2312" w:hAnsi="仿宋_GB2312" w:cs="仿宋_GB2312"/>
          <w:b w:val="0"/>
          <w:kern w:val="2"/>
          <w:sz w:val="32"/>
          <w:szCs w:val="32"/>
        </w:rPr>
        <w:t>商务部办公厅</w:t>
      </w:r>
      <w:r>
        <w:rPr>
          <w:rFonts w:ascii="仿宋_GB2312" w:eastAsia="仿宋_GB2312" w:hAnsi="仿宋_GB2312" w:cs="仿宋_GB2312"/>
          <w:b w:val="0"/>
          <w:kern w:val="2"/>
          <w:sz w:val="32"/>
          <w:szCs w:val="32"/>
        </w:rPr>
        <w:t>在</w:t>
      </w:r>
      <w:r>
        <w:rPr>
          <w:rFonts w:ascii="仿宋_GB2312" w:eastAsia="仿宋_GB2312" w:hAnsi="仿宋_GB2312" w:cs="仿宋_GB2312"/>
          <w:b w:val="0"/>
          <w:kern w:val="2"/>
          <w:sz w:val="32"/>
          <w:szCs w:val="32"/>
        </w:rPr>
        <w:t>《</w:t>
      </w:r>
      <w:r>
        <w:rPr>
          <w:rFonts w:ascii="仿宋_GB2312" w:eastAsia="仿宋_GB2312" w:hAnsi="仿宋_GB2312" w:cs="仿宋_GB2312"/>
          <w:b w:val="0"/>
          <w:kern w:val="2"/>
          <w:sz w:val="32"/>
          <w:szCs w:val="32"/>
        </w:rPr>
        <w:t>2017</w:t>
      </w:r>
      <w:r>
        <w:rPr>
          <w:rFonts w:ascii="仿宋_GB2312" w:eastAsia="仿宋_GB2312" w:hAnsi="仿宋_GB2312" w:cs="仿宋_GB2312"/>
          <w:b w:val="0"/>
          <w:kern w:val="2"/>
          <w:sz w:val="32"/>
          <w:szCs w:val="32"/>
        </w:rPr>
        <w:t>年流通行业标准项目计划的通知》</w:t>
      </w:r>
      <w:r>
        <w:rPr>
          <w:rFonts w:ascii="仿宋_GB2312" w:eastAsia="仿宋_GB2312" w:hAnsi="仿宋_GB2312" w:cs="仿宋_GB2312"/>
          <w:b w:val="0"/>
          <w:kern w:val="2"/>
          <w:sz w:val="32"/>
          <w:szCs w:val="32"/>
        </w:rPr>
        <w:t>（商办流通函〔</w:t>
      </w:r>
      <w:r>
        <w:rPr>
          <w:rFonts w:ascii="仿宋_GB2312" w:eastAsia="仿宋_GB2312" w:hAnsi="仿宋_GB2312" w:cs="仿宋_GB2312"/>
          <w:b w:val="0"/>
          <w:kern w:val="2"/>
          <w:sz w:val="32"/>
          <w:szCs w:val="32"/>
        </w:rPr>
        <w:t>2017</w:t>
      </w:r>
      <w:r>
        <w:rPr>
          <w:rFonts w:ascii="仿宋_GB2312" w:eastAsia="仿宋_GB2312" w:hAnsi="仿宋_GB2312" w:cs="仿宋_GB2312"/>
          <w:b w:val="0"/>
          <w:kern w:val="2"/>
          <w:sz w:val="32"/>
          <w:szCs w:val="32"/>
        </w:rPr>
        <w:t>〕</w:t>
      </w:r>
      <w:r>
        <w:rPr>
          <w:rFonts w:ascii="仿宋_GB2312" w:eastAsia="仿宋_GB2312" w:hAnsi="仿宋_GB2312" w:cs="仿宋_GB2312"/>
          <w:b w:val="0"/>
          <w:kern w:val="2"/>
          <w:sz w:val="32"/>
          <w:szCs w:val="32"/>
        </w:rPr>
        <w:t>232</w:t>
      </w:r>
      <w:r>
        <w:rPr>
          <w:rFonts w:ascii="仿宋_GB2312" w:eastAsia="仿宋_GB2312" w:hAnsi="仿宋_GB2312" w:cs="仿宋_GB2312"/>
          <w:b w:val="0"/>
          <w:kern w:val="2"/>
          <w:sz w:val="32"/>
          <w:szCs w:val="32"/>
        </w:rPr>
        <w:t>号）</w:t>
      </w:r>
      <w:r>
        <w:rPr>
          <w:rFonts w:ascii="仿宋_GB2312" w:eastAsia="仿宋_GB2312" w:hAnsi="仿宋_GB2312" w:cs="仿宋_GB2312"/>
          <w:b w:val="0"/>
          <w:kern w:val="2"/>
          <w:sz w:val="32"/>
          <w:szCs w:val="32"/>
        </w:rPr>
        <w:t>中</w:t>
      </w:r>
      <w:r>
        <w:rPr>
          <w:rFonts w:ascii="仿宋_GB2312" w:eastAsia="仿宋_GB2312" w:hAnsi="仿宋_GB2312" w:cs="仿宋_GB2312"/>
          <w:b w:val="0"/>
          <w:kern w:val="2"/>
          <w:sz w:val="32"/>
          <w:szCs w:val="32"/>
        </w:rPr>
        <w:t>下达</w:t>
      </w:r>
      <w:r>
        <w:rPr>
          <w:rFonts w:ascii="仿宋_GB2312" w:eastAsia="仿宋_GB2312" w:hAnsi="仿宋_GB2312" w:cs="仿宋_GB2312"/>
          <w:b w:val="0"/>
          <w:kern w:val="2"/>
          <w:sz w:val="32"/>
          <w:szCs w:val="32"/>
        </w:rPr>
        <w:t>《</w:t>
      </w:r>
      <w:r>
        <w:rPr>
          <w:rFonts w:ascii="仿宋_GB2312" w:eastAsia="仿宋_GB2312" w:hAnsi="仿宋_GB2312" w:cs="仿宋_GB2312"/>
          <w:b w:val="0"/>
          <w:kern w:val="2"/>
          <w:sz w:val="32"/>
          <w:szCs w:val="32"/>
        </w:rPr>
        <w:t>循环共用系统托盘质量要求</w:t>
      </w:r>
      <w:r>
        <w:rPr>
          <w:rFonts w:ascii="仿宋_GB2312" w:eastAsia="仿宋_GB2312" w:hAnsi="仿宋_GB2312" w:cs="仿宋_GB2312"/>
          <w:b w:val="0"/>
          <w:kern w:val="2"/>
          <w:sz w:val="32"/>
          <w:szCs w:val="32"/>
        </w:rPr>
        <w:t>》</w:t>
      </w:r>
      <w:r>
        <w:rPr>
          <w:rFonts w:ascii="仿宋_GB2312" w:eastAsia="仿宋_GB2312" w:hAnsi="仿宋_GB2312" w:cs="仿宋_GB2312"/>
          <w:b w:val="0"/>
          <w:kern w:val="2"/>
          <w:sz w:val="32"/>
          <w:szCs w:val="32"/>
        </w:rPr>
        <w:t>标准制定任务</w:t>
      </w:r>
      <w:r>
        <w:rPr>
          <w:rFonts w:ascii="仿宋_GB2312" w:eastAsia="仿宋_GB2312" w:hAnsi="仿宋_GB2312" w:cs="仿宋_GB2312"/>
          <w:b w:val="0"/>
          <w:kern w:val="2"/>
          <w:sz w:val="32"/>
          <w:szCs w:val="32"/>
        </w:rPr>
        <w:t>。</w:t>
      </w:r>
    </w:p>
    <w:p w14:paraId="0F6190C7" w14:textId="324F726F" w:rsidR="00617096" w:rsidRDefault="00F43F9B">
      <w:pPr>
        <w:pStyle w:val="1"/>
        <w:widowControl/>
        <w:spacing w:before="0" w:beforeAutospacing="0" w:after="0" w:afterAutospacing="0" w:line="240" w:lineRule="auto"/>
        <w:ind w:firstLineChars="200" w:firstLine="640"/>
        <w:rPr>
          <w:rFonts w:ascii="仿宋_GB2312" w:eastAsia="仿宋_GB2312" w:hAnsi="仿宋_GB2312" w:cs="仿宋_GB2312" w:hint="default"/>
          <w:b w:val="0"/>
          <w:bCs/>
          <w:kern w:val="2"/>
          <w:sz w:val="32"/>
          <w:szCs w:val="44"/>
        </w:rPr>
      </w:pPr>
      <w:r>
        <w:rPr>
          <w:rFonts w:ascii="仿宋_GB2312" w:eastAsia="仿宋_GB2312" w:hAnsi="仿宋_GB2312" w:cs="仿宋_GB2312"/>
          <w:b w:val="0"/>
          <w:kern w:val="2"/>
          <w:sz w:val="32"/>
          <w:szCs w:val="32"/>
        </w:rPr>
        <w:t>参与本文件</w:t>
      </w:r>
      <w:r>
        <w:rPr>
          <w:rFonts w:ascii="仿宋_GB2312" w:eastAsia="仿宋_GB2312" w:hAnsi="仿宋_GB2312" w:cs="仿宋_GB2312"/>
          <w:b w:val="0"/>
          <w:kern w:val="2"/>
          <w:sz w:val="32"/>
          <w:szCs w:val="32"/>
        </w:rPr>
        <w:t>起草</w:t>
      </w:r>
      <w:r>
        <w:rPr>
          <w:rFonts w:ascii="仿宋_GB2312" w:eastAsia="仿宋_GB2312" w:hAnsi="仿宋_GB2312" w:cs="仿宋_GB2312"/>
          <w:b w:val="0"/>
          <w:kern w:val="2"/>
          <w:sz w:val="32"/>
          <w:szCs w:val="32"/>
        </w:rPr>
        <w:t>单位有中国仓储与配送协会、路凯包装设备租赁（上海）有限公司</w:t>
      </w:r>
      <w:r>
        <w:rPr>
          <w:rFonts w:ascii="仿宋_GB2312" w:eastAsia="仿宋_GB2312" w:hAnsi="仿宋_GB2312" w:cs="仿宋_GB2312"/>
          <w:b w:val="0"/>
          <w:kern w:val="2"/>
          <w:sz w:val="32"/>
          <w:szCs w:val="32"/>
        </w:rPr>
        <w:t>等</w:t>
      </w:r>
      <w:r>
        <w:rPr>
          <w:rFonts w:ascii="仿宋_GB2312" w:eastAsia="仿宋_GB2312" w:hAnsi="仿宋_GB2312" w:cs="仿宋_GB2312"/>
          <w:b w:val="0"/>
          <w:bCs/>
          <w:kern w:val="2"/>
          <w:sz w:val="32"/>
          <w:szCs w:val="44"/>
        </w:rPr>
        <w:t>。</w:t>
      </w:r>
    </w:p>
    <w:p w14:paraId="2CFBEA4D" w14:textId="77777777" w:rsidR="00617096" w:rsidRDefault="00F43F9B">
      <w:pPr>
        <w:pStyle w:val="1"/>
        <w:widowControl/>
        <w:spacing w:before="0" w:beforeAutospacing="0" w:after="0" w:afterAutospacing="0" w:line="240" w:lineRule="auto"/>
        <w:rPr>
          <w:rFonts w:ascii="黑体" w:eastAsia="黑体" w:hAnsi="黑体" w:cs="黑体" w:hint="default"/>
          <w:b w:val="0"/>
          <w:bCs/>
          <w:kern w:val="2"/>
          <w:sz w:val="32"/>
          <w:szCs w:val="32"/>
        </w:rPr>
      </w:pPr>
      <w:r>
        <w:rPr>
          <w:rFonts w:ascii="黑体" w:eastAsia="黑体" w:hAnsi="黑体" w:cs="黑体"/>
          <w:b w:val="0"/>
          <w:bCs/>
          <w:kern w:val="2"/>
          <w:sz w:val="32"/>
          <w:szCs w:val="32"/>
        </w:rPr>
        <w:t xml:space="preserve">    </w:t>
      </w:r>
      <w:r>
        <w:rPr>
          <w:rFonts w:ascii="黑体" w:eastAsia="黑体" w:hAnsi="黑体" w:cs="黑体"/>
          <w:b w:val="0"/>
          <w:bCs/>
          <w:kern w:val="2"/>
          <w:sz w:val="32"/>
          <w:szCs w:val="32"/>
        </w:rPr>
        <w:t>二、标准名称变更</w:t>
      </w:r>
    </w:p>
    <w:p w14:paraId="575854CD" w14:textId="77777777" w:rsidR="00617096" w:rsidRDefault="00F43F9B">
      <w:pPr>
        <w:pStyle w:val="1"/>
        <w:widowControl/>
        <w:spacing w:before="0" w:beforeAutospacing="0" w:after="0" w:afterAutospacing="0" w:line="240" w:lineRule="auto"/>
        <w:ind w:firstLine="640"/>
        <w:rPr>
          <w:rFonts w:ascii="Times New Roman" w:eastAsia="仿宋_GB2312" w:hAnsi="Times New Roman" w:hint="default"/>
          <w:b w:val="0"/>
          <w:kern w:val="2"/>
          <w:sz w:val="32"/>
          <w:szCs w:val="32"/>
        </w:rPr>
      </w:pPr>
      <w:r>
        <w:rPr>
          <w:rFonts w:ascii="Times New Roman" w:eastAsia="仿宋_GB2312" w:hAnsi="Times New Roman"/>
          <w:b w:val="0"/>
          <w:kern w:val="2"/>
          <w:sz w:val="32"/>
          <w:szCs w:val="32"/>
        </w:rPr>
        <w:t>标准名称未变更，与申报时一致。</w:t>
      </w:r>
    </w:p>
    <w:p w14:paraId="72BA2B97" w14:textId="77777777" w:rsidR="00617096" w:rsidRDefault="00F43F9B">
      <w:pPr>
        <w:pStyle w:val="1"/>
        <w:widowControl/>
        <w:spacing w:before="0" w:beforeAutospacing="0" w:after="0" w:afterAutospacing="0" w:line="240" w:lineRule="auto"/>
        <w:ind w:firstLine="640"/>
        <w:rPr>
          <w:rFonts w:ascii="黑体" w:eastAsia="黑体" w:hAnsi="黑体" w:cs="黑体" w:hint="default"/>
          <w:b w:val="0"/>
          <w:bCs/>
          <w:kern w:val="2"/>
          <w:sz w:val="32"/>
          <w:szCs w:val="32"/>
        </w:rPr>
      </w:pPr>
      <w:r>
        <w:rPr>
          <w:rFonts w:ascii="黑体" w:eastAsia="黑体" w:hAnsi="黑体" w:cs="黑体"/>
          <w:b w:val="0"/>
          <w:bCs/>
          <w:kern w:val="2"/>
          <w:sz w:val="32"/>
          <w:szCs w:val="32"/>
        </w:rPr>
        <w:t>三、</w:t>
      </w:r>
      <w:r>
        <w:rPr>
          <w:rFonts w:ascii="黑体" w:eastAsia="黑体" w:hAnsi="黑体" w:cs="黑体"/>
          <w:b w:val="0"/>
          <w:bCs/>
          <w:kern w:val="2"/>
          <w:sz w:val="32"/>
          <w:szCs w:val="32"/>
        </w:rPr>
        <w:t xml:space="preserve"> </w:t>
      </w:r>
      <w:r>
        <w:rPr>
          <w:rFonts w:ascii="黑体" w:eastAsia="黑体" w:hAnsi="黑体" w:cs="黑体"/>
          <w:b w:val="0"/>
          <w:bCs/>
          <w:kern w:val="2"/>
          <w:sz w:val="32"/>
          <w:szCs w:val="32"/>
        </w:rPr>
        <w:t>标准编写的目的、意义</w:t>
      </w:r>
    </w:p>
    <w:p w14:paraId="6B272801" w14:textId="77777777" w:rsidR="00617096" w:rsidRDefault="00F43F9B">
      <w:pPr>
        <w:ind w:firstLineChars="200" w:firstLine="640"/>
        <w:rPr>
          <w:rFonts w:eastAsia="仿宋_GB2312"/>
          <w:sz w:val="32"/>
          <w:szCs w:val="32"/>
        </w:rPr>
      </w:pPr>
      <w:r>
        <w:rPr>
          <w:rFonts w:eastAsia="仿宋_GB2312" w:hint="eastAsia"/>
          <w:sz w:val="32"/>
          <w:szCs w:val="32"/>
        </w:rPr>
        <w:t>托盘循环共用系统是指由全社会</w:t>
      </w:r>
      <w:r>
        <w:rPr>
          <w:rFonts w:eastAsia="仿宋_GB2312"/>
          <w:sz w:val="32"/>
          <w:szCs w:val="32"/>
        </w:rPr>
        <w:t>各个</w:t>
      </w:r>
      <w:r>
        <w:rPr>
          <w:rFonts w:eastAsia="仿宋_GB2312" w:hint="eastAsia"/>
          <w:sz w:val="32"/>
          <w:szCs w:val="32"/>
        </w:rPr>
        <w:t>托盘服务企业和各个托盘使用企业所形成的系统，互相之间通过交换、租赁、买卖实现托盘的多次循环使用。</w:t>
      </w:r>
      <w:r>
        <w:rPr>
          <w:rFonts w:eastAsia="仿宋_GB2312" w:hint="eastAsia"/>
          <w:sz w:val="32"/>
          <w:szCs w:val="32"/>
        </w:rPr>
        <w:t>2014</w:t>
      </w:r>
      <w:r>
        <w:rPr>
          <w:rFonts w:eastAsia="仿宋_GB2312" w:hint="eastAsia"/>
          <w:sz w:val="32"/>
          <w:szCs w:val="32"/>
        </w:rPr>
        <w:t>年开始，</w:t>
      </w:r>
      <w:r>
        <w:rPr>
          <w:rFonts w:ascii="仿宋" w:eastAsia="仿宋" w:hAnsi="仿宋"/>
          <w:sz w:val="32"/>
          <w:szCs w:val="32"/>
        </w:rPr>
        <w:t>商务部</w:t>
      </w:r>
      <w:r>
        <w:rPr>
          <w:rFonts w:ascii="仿宋" w:eastAsia="仿宋" w:hAnsi="仿宋" w:hint="eastAsia"/>
          <w:sz w:val="32"/>
          <w:szCs w:val="32"/>
        </w:rPr>
        <w:t>、</w:t>
      </w:r>
      <w:r>
        <w:rPr>
          <w:rFonts w:ascii="仿宋" w:eastAsia="仿宋" w:hAnsi="仿宋"/>
          <w:sz w:val="32"/>
          <w:szCs w:val="32"/>
        </w:rPr>
        <w:t>财政部、国家标准委</w:t>
      </w:r>
      <w:r>
        <w:rPr>
          <w:rFonts w:ascii="仿宋" w:eastAsia="仿宋" w:hAnsi="仿宋" w:hint="eastAsia"/>
          <w:sz w:val="32"/>
          <w:szCs w:val="32"/>
        </w:rPr>
        <w:t>共同开展的商贸物流</w:t>
      </w:r>
      <w:r>
        <w:rPr>
          <w:rFonts w:ascii="仿宋" w:eastAsia="仿宋" w:hAnsi="仿宋"/>
          <w:sz w:val="32"/>
          <w:szCs w:val="32"/>
        </w:rPr>
        <w:t>标准化行动</w:t>
      </w:r>
      <w:r>
        <w:rPr>
          <w:rFonts w:eastAsia="仿宋_GB2312"/>
          <w:sz w:val="32"/>
          <w:szCs w:val="32"/>
        </w:rPr>
        <w:t>计划</w:t>
      </w:r>
      <w:r>
        <w:rPr>
          <w:rFonts w:eastAsia="仿宋_GB2312" w:hint="eastAsia"/>
          <w:sz w:val="32"/>
          <w:szCs w:val="32"/>
        </w:rPr>
        <w:t>中，封闭式标准托盘循环共用率先发力，取得了显著</w:t>
      </w:r>
      <w:r>
        <w:rPr>
          <w:rFonts w:eastAsia="仿宋_GB2312"/>
          <w:sz w:val="32"/>
          <w:szCs w:val="32"/>
        </w:rPr>
        <w:t>成效</w:t>
      </w:r>
      <w:r>
        <w:rPr>
          <w:rFonts w:eastAsia="仿宋_GB2312" w:hint="eastAsia"/>
          <w:sz w:val="32"/>
          <w:szCs w:val="32"/>
        </w:rPr>
        <w:t>，物流效率显著提升。但是随着循环共同的全国推进，封</w:t>
      </w:r>
      <w:r>
        <w:rPr>
          <w:rFonts w:ascii="仿宋" w:eastAsia="仿宋" w:hAnsi="仿宋" w:hint="eastAsia"/>
          <w:sz w:val="32"/>
          <w:szCs w:val="32"/>
        </w:rPr>
        <w:t>闭式托盘循环共用系统也暴露出一些制约性问题，如</w:t>
      </w:r>
      <w:r>
        <w:rPr>
          <w:rFonts w:eastAsia="仿宋_GB2312" w:hint="eastAsia"/>
          <w:sz w:val="32"/>
          <w:szCs w:val="32"/>
        </w:rPr>
        <w:t>封闭式</w:t>
      </w:r>
      <w:r>
        <w:rPr>
          <w:rFonts w:eastAsia="仿宋_GB2312"/>
          <w:sz w:val="32"/>
          <w:szCs w:val="32"/>
        </w:rPr>
        <w:t>托盘循环共用系统</w:t>
      </w:r>
      <w:r>
        <w:rPr>
          <w:rFonts w:eastAsia="仿宋_GB2312" w:hint="eastAsia"/>
          <w:sz w:val="32"/>
          <w:szCs w:val="32"/>
        </w:rPr>
        <w:t>由于是单个企业行为，</w:t>
      </w:r>
      <w:r>
        <w:rPr>
          <w:rFonts w:eastAsia="仿宋_GB2312"/>
          <w:sz w:val="32"/>
          <w:szCs w:val="32"/>
        </w:rPr>
        <w:t>难以</w:t>
      </w:r>
      <w:r>
        <w:rPr>
          <w:rFonts w:eastAsia="仿宋_GB2312" w:hint="eastAsia"/>
          <w:sz w:val="32"/>
          <w:szCs w:val="32"/>
        </w:rPr>
        <w:t>形成</w:t>
      </w:r>
      <w:r>
        <w:rPr>
          <w:rFonts w:eastAsia="仿宋_GB2312"/>
          <w:sz w:val="32"/>
          <w:szCs w:val="32"/>
        </w:rPr>
        <w:t>全国网络</w:t>
      </w:r>
      <w:r>
        <w:rPr>
          <w:rFonts w:eastAsia="仿宋_GB2312" w:hint="eastAsia"/>
          <w:sz w:val="32"/>
          <w:szCs w:val="32"/>
        </w:rPr>
        <w:t>；封闭式系统中循环的托盘质量大都能符合或高于国标，但参数要求不</w:t>
      </w:r>
      <w:r>
        <w:rPr>
          <w:rFonts w:eastAsia="仿宋_GB2312" w:hint="eastAsia"/>
          <w:sz w:val="32"/>
          <w:szCs w:val="32"/>
        </w:rPr>
        <w:lastRenderedPageBreak/>
        <w:t>统一，即</w:t>
      </w:r>
      <w:r>
        <w:rPr>
          <w:rFonts w:eastAsia="仿宋_GB2312"/>
          <w:sz w:val="32"/>
          <w:szCs w:val="32"/>
        </w:rPr>
        <w:t>不同租赁企业有</w:t>
      </w:r>
      <w:r>
        <w:rPr>
          <w:rFonts w:eastAsia="仿宋_GB2312" w:hint="eastAsia"/>
          <w:sz w:val="32"/>
          <w:szCs w:val="32"/>
        </w:rPr>
        <w:t>不同</w:t>
      </w:r>
      <w:r>
        <w:rPr>
          <w:rFonts w:eastAsia="仿宋_GB2312"/>
          <w:sz w:val="32"/>
          <w:szCs w:val="32"/>
        </w:rPr>
        <w:t>的托盘质量标准</w:t>
      </w:r>
      <w:r>
        <w:rPr>
          <w:rFonts w:eastAsia="仿宋_GB2312" w:hint="eastAsia"/>
          <w:sz w:val="32"/>
          <w:szCs w:val="32"/>
        </w:rPr>
        <w:t>，这样就</w:t>
      </w:r>
      <w:r>
        <w:rPr>
          <w:rFonts w:eastAsia="仿宋_GB2312"/>
          <w:sz w:val="32"/>
          <w:szCs w:val="32"/>
        </w:rPr>
        <w:t>难以互相协同，实现托盘的</w:t>
      </w:r>
      <w:r>
        <w:rPr>
          <w:rFonts w:eastAsia="仿宋_GB2312" w:hint="eastAsia"/>
          <w:sz w:val="32"/>
          <w:szCs w:val="32"/>
        </w:rPr>
        <w:t>互换</w:t>
      </w:r>
      <w:r>
        <w:rPr>
          <w:rFonts w:eastAsia="仿宋_GB2312"/>
          <w:sz w:val="32"/>
          <w:szCs w:val="32"/>
        </w:rPr>
        <w:t>，也影响</w:t>
      </w:r>
      <w:r>
        <w:rPr>
          <w:rFonts w:eastAsia="仿宋_GB2312" w:hint="eastAsia"/>
          <w:sz w:val="32"/>
          <w:szCs w:val="32"/>
        </w:rPr>
        <w:t>了</w:t>
      </w:r>
      <w:r>
        <w:rPr>
          <w:rFonts w:eastAsia="仿宋_GB2312"/>
          <w:sz w:val="32"/>
          <w:szCs w:val="32"/>
        </w:rPr>
        <w:t>标准化托盘的循环共用覆盖范围。</w:t>
      </w:r>
      <w:r>
        <w:rPr>
          <w:rFonts w:eastAsia="仿宋_GB2312" w:hint="eastAsia"/>
          <w:sz w:val="32"/>
          <w:szCs w:val="32"/>
        </w:rPr>
        <w:t>因此，迫切需要制定开放式循环系统中的托盘质量要求，在生产、使用、服务企业间建立共识，按照同一个标准进行生产、销售和使用。</w:t>
      </w:r>
    </w:p>
    <w:p w14:paraId="58369AC9" w14:textId="77777777" w:rsidR="00617096" w:rsidRDefault="00F43F9B">
      <w:pPr>
        <w:spacing w:line="240" w:lineRule="auto"/>
        <w:ind w:firstLineChars="200" w:firstLine="640"/>
        <w:rPr>
          <w:rFonts w:ascii="仿宋_GB2312" w:eastAsia="仿宋_GB2312" w:hAnsi="仿宋_GB2312" w:cs="仿宋_GB2312"/>
          <w:sz w:val="32"/>
          <w:szCs w:val="32"/>
        </w:rPr>
      </w:pPr>
      <w:r>
        <w:rPr>
          <w:rFonts w:ascii="仿宋_GB2312" w:eastAsia="仿宋_GB2312" w:hAnsi="宋体" w:hint="eastAsia"/>
          <w:sz w:val="32"/>
          <w:szCs w:val="32"/>
        </w:rPr>
        <w:t>本标准的制定将促进开放式循环共用系统的建设，引导共用系统中小租赁企业及托盘使用者采购相同质量的托盘，有利于促</w:t>
      </w:r>
      <w:r>
        <w:rPr>
          <w:rFonts w:ascii="仿宋_GB2312" w:eastAsia="仿宋_GB2312" w:hAnsi="宋体" w:hint="eastAsia"/>
          <w:sz w:val="32"/>
          <w:szCs w:val="32"/>
        </w:rPr>
        <w:t>进托盘的交换循环和买卖循环，实现广泛的带托运输。同时也符合我国十八届五中全会提出的“绿色”、“共享”发展理念，具有良好的经济效益和社会效益，对促进供应链协同、提升服务价值、助力企业降本提效具有重要意义。</w:t>
      </w:r>
    </w:p>
    <w:p w14:paraId="41DCE491" w14:textId="77777777" w:rsidR="00617096" w:rsidRDefault="00F43F9B">
      <w:pPr>
        <w:spacing w:line="240" w:lineRule="auto"/>
        <w:ind w:firstLineChars="200" w:firstLine="640"/>
        <w:rPr>
          <w:rFonts w:ascii="黑体" w:eastAsia="黑体" w:hAnsi="黑体" w:cs="黑体"/>
          <w:bCs/>
          <w:sz w:val="32"/>
          <w:szCs w:val="32"/>
        </w:rPr>
      </w:pPr>
      <w:r>
        <w:rPr>
          <w:rFonts w:ascii="黑体" w:eastAsia="黑体" w:hAnsi="黑体" w:cs="黑体" w:hint="eastAsia"/>
          <w:bCs/>
          <w:sz w:val="32"/>
          <w:szCs w:val="32"/>
        </w:rPr>
        <w:t>四、主要工作过程</w:t>
      </w:r>
    </w:p>
    <w:p w14:paraId="52395675" w14:textId="77777777" w:rsidR="00617096" w:rsidRDefault="00F43F9B">
      <w:pPr>
        <w:pStyle w:val="1"/>
        <w:widowControl/>
        <w:spacing w:before="0" w:beforeAutospacing="0" w:after="0" w:afterAutospacing="0" w:line="240" w:lineRule="auto"/>
        <w:ind w:firstLineChars="200" w:firstLine="640"/>
        <w:rPr>
          <w:rFonts w:ascii="仿宋_GB2312" w:eastAsia="仿宋_GB2312" w:hAnsi="仿宋_GB2312" w:cs="仿宋_GB2312" w:hint="default"/>
          <w:b w:val="0"/>
          <w:kern w:val="2"/>
          <w:sz w:val="32"/>
          <w:szCs w:val="32"/>
        </w:rPr>
      </w:pPr>
      <w:r>
        <w:rPr>
          <w:rFonts w:ascii="仿宋_GB2312" w:eastAsia="仿宋_GB2312" w:hAnsi="仿宋_GB2312" w:cs="仿宋_GB2312"/>
          <w:b w:val="0"/>
          <w:kern w:val="2"/>
          <w:sz w:val="32"/>
          <w:szCs w:val="32"/>
        </w:rPr>
        <w:t>成立编写工作组</w:t>
      </w:r>
      <w:r>
        <w:rPr>
          <w:rFonts w:ascii="仿宋_GB2312" w:eastAsia="仿宋_GB2312" w:hAnsi="仿宋_GB2312" w:cs="仿宋_GB2312" w:hint="default"/>
          <w:b w:val="0"/>
          <w:kern w:val="2"/>
          <w:sz w:val="32"/>
          <w:szCs w:val="32"/>
          <w:lang w:val="en"/>
        </w:rPr>
        <w:t>。</w:t>
      </w:r>
      <w:r>
        <w:rPr>
          <w:rFonts w:ascii="仿宋_GB2312" w:eastAsia="仿宋_GB2312" w:hAnsi="仿宋_GB2312" w:cs="仿宋_GB2312"/>
          <w:b w:val="0"/>
          <w:kern w:val="2"/>
          <w:sz w:val="32"/>
          <w:szCs w:val="32"/>
        </w:rPr>
        <w:t>2017</w:t>
      </w:r>
      <w:r>
        <w:rPr>
          <w:rFonts w:ascii="仿宋_GB2312" w:eastAsia="仿宋_GB2312" w:hAnsi="仿宋_GB2312" w:cs="仿宋_GB2312"/>
          <w:b w:val="0"/>
          <w:kern w:val="2"/>
          <w:sz w:val="32"/>
          <w:szCs w:val="32"/>
        </w:rPr>
        <w:t>年</w:t>
      </w:r>
      <w:r>
        <w:rPr>
          <w:rFonts w:ascii="仿宋_GB2312" w:eastAsia="仿宋_GB2312" w:hAnsi="仿宋_GB2312" w:cs="仿宋_GB2312"/>
          <w:b w:val="0"/>
          <w:kern w:val="2"/>
          <w:sz w:val="32"/>
          <w:szCs w:val="32"/>
        </w:rPr>
        <w:t>6</w:t>
      </w:r>
      <w:r>
        <w:rPr>
          <w:rFonts w:ascii="仿宋_GB2312" w:eastAsia="仿宋_GB2312" w:hAnsi="仿宋_GB2312" w:cs="仿宋_GB2312"/>
          <w:b w:val="0"/>
          <w:kern w:val="2"/>
          <w:sz w:val="32"/>
          <w:szCs w:val="32"/>
        </w:rPr>
        <w:t>月，《商务部办公厅关于下达</w:t>
      </w:r>
      <w:r>
        <w:rPr>
          <w:rFonts w:ascii="仿宋_GB2312" w:eastAsia="仿宋_GB2312" w:hAnsi="仿宋_GB2312" w:cs="仿宋_GB2312"/>
          <w:b w:val="0"/>
          <w:kern w:val="2"/>
          <w:sz w:val="32"/>
          <w:szCs w:val="32"/>
        </w:rPr>
        <w:t>2017</w:t>
      </w:r>
      <w:r>
        <w:rPr>
          <w:rFonts w:ascii="仿宋_GB2312" w:eastAsia="仿宋_GB2312" w:hAnsi="仿宋_GB2312" w:cs="仿宋_GB2312"/>
          <w:b w:val="0"/>
          <w:kern w:val="2"/>
          <w:sz w:val="32"/>
          <w:szCs w:val="32"/>
        </w:rPr>
        <w:t>年流通行业标准项目计划的通知》（商办流通函〔</w:t>
      </w:r>
      <w:r>
        <w:rPr>
          <w:rFonts w:ascii="仿宋_GB2312" w:eastAsia="仿宋_GB2312" w:hAnsi="仿宋_GB2312" w:cs="仿宋_GB2312"/>
          <w:b w:val="0"/>
          <w:kern w:val="2"/>
          <w:sz w:val="32"/>
          <w:szCs w:val="32"/>
        </w:rPr>
        <w:t>2017</w:t>
      </w:r>
      <w:r>
        <w:rPr>
          <w:rFonts w:ascii="仿宋_GB2312" w:eastAsia="仿宋_GB2312" w:hAnsi="仿宋_GB2312" w:cs="仿宋_GB2312"/>
          <w:b w:val="0"/>
          <w:kern w:val="2"/>
          <w:sz w:val="32"/>
          <w:szCs w:val="32"/>
        </w:rPr>
        <w:t>〕</w:t>
      </w:r>
      <w:r>
        <w:rPr>
          <w:rFonts w:ascii="仿宋_GB2312" w:eastAsia="仿宋_GB2312" w:hAnsi="仿宋_GB2312" w:cs="仿宋_GB2312"/>
          <w:b w:val="0"/>
          <w:kern w:val="2"/>
          <w:sz w:val="32"/>
          <w:szCs w:val="32"/>
        </w:rPr>
        <w:t>232</w:t>
      </w:r>
      <w:r>
        <w:rPr>
          <w:rFonts w:ascii="仿宋_GB2312" w:eastAsia="仿宋_GB2312" w:hAnsi="仿宋_GB2312" w:cs="仿宋_GB2312"/>
          <w:b w:val="0"/>
          <w:kern w:val="2"/>
          <w:sz w:val="32"/>
          <w:szCs w:val="32"/>
        </w:rPr>
        <w:t>号）下达，通过召开标准项目部署会议，制定了标准工作方案，并成立编写工作组，确定项目负责人，其他参编单位的相关人员为小组人员。</w:t>
      </w:r>
    </w:p>
    <w:p w14:paraId="7CB6A0CA" w14:textId="77777777" w:rsidR="00617096" w:rsidRDefault="00F43F9B">
      <w:pPr>
        <w:pStyle w:val="1"/>
        <w:widowControl/>
        <w:spacing w:before="0" w:beforeAutospacing="0" w:after="0" w:afterAutospacing="0"/>
        <w:ind w:firstLineChars="200" w:firstLine="640"/>
        <w:rPr>
          <w:rFonts w:ascii="仿宋_GB2312" w:eastAsia="仿宋_GB2312" w:hAnsi="仿宋_GB2312" w:cs="仿宋_GB2312" w:hint="default"/>
          <w:b w:val="0"/>
          <w:kern w:val="2"/>
          <w:sz w:val="32"/>
          <w:szCs w:val="32"/>
        </w:rPr>
      </w:pPr>
      <w:r>
        <w:rPr>
          <w:rFonts w:ascii="仿宋_GB2312" w:eastAsia="仿宋_GB2312" w:hAnsi="仿宋_GB2312" w:cs="仿宋_GB2312"/>
          <w:b w:val="0"/>
          <w:kern w:val="2"/>
          <w:sz w:val="32"/>
          <w:szCs w:val="32"/>
        </w:rPr>
        <w:t>收集材料阶段</w:t>
      </w:r>
      <w:r>
        <w:rPr>
          <w:rFonts w:ascii="仿宋_GB2312" w:eastAsia="仿宋_GB2312" w:hAnsi="仿宋_GB2312" w:cs="仿宋_GB2312" w:hint="default"/>
          <w:b w:val="0"/>
          <w:kern w:val="2"/>
          <w:sz w:val="32"/>
          <w:szCs w:val="32"/>
          <w:lang w:val="en"/>
        </w:rPr>
        <w:t>。</w:t>
      </w:r>
      <w:r>
        <w:rPr>
          <w:rFonts w:ascii="仿宋_GB2312" w:eastAsia="仿宋_GB2312" w:hAnsi="仿宋_GB2312" w:cs="仿宋_GB2312"/>
          <w:b w:val="0"/>
          <w:kern w:val="2"/>
          <w:sz w:val="32"/>
          <w:szCs w:val="32"/>
        </w:rPr>
        <w:t>编写工作组</w:t>
      </w:r>
      <w:r>
        <w:rPr>
          <w:rFonts w:ascii="仿宋_GB2312" w:eastAsia="仿宋_GB2312" w:hAnsi="仿宋_GB2312" w:cs="仿宋_GB2312"/>
          <w:b w:val="0"/>
          <w:kern w:val="2"/>
          <w:sz w:val="32"/>
          <w:szCs w:val="32"/>
        </w:rPr>
        <w:t>2017</w:t>
      </w:r>
      <w:r>
        <w:rPr>
          <w:rFonts w:ascii="仿宋_GB2312" w:eastAsia="仿宋_GB2312" w:hAnsi="仿宋_GB2312" w:cs="仿宋_GB2312"/>
          <w:b w:val="0"/>
          <w:kern w:val="2"/>
          <w:sz w:val="32"/>
          <w:szCs w:val="32"/>
        </w:rPr>
        <w:t>年</w:t>
      </w:r>
      <w:r>
        <w:rPr>
          <w:rFonts w:ascii="仿宋_GB2312" w:eastAsia="仿宋_GB2312" w:hAnsi="仿宋_GB2312" w:cs="仿宋_GB2312"/>
          <w:b w:val="0"/>
          <w:kern w:val="2"/>
          <w:sz w:val="32"/>
          <w:szCs w:val="32"/>
        </w:rPr>
        <w:t>7</w:t>
      </w:r>
      <w:r>
        <w:rPr>
          <w:rFonts w:ascii="仿宋_GB2312" w:eastAsia="仿宋_GB2312" w:hAnsi="仿宋_GB2312" w:cs="仿宋_GB2312"/>
          <w:b w:val="0"/>
          <w:kern w:val="2"/>
          <w:sz w:val="32"/>
          <w:szCs w:val="32"/>
        </w:rPr>
        <w:t>月</w:t>
      </w:r>
      <w:r>
        <w:rPr>
          <w:rFonts w:ascii="仿宋_GB2312" w:eastAsia="仿宋_GB2312" w:hAnsi="仿宋_GB2312" w:cs="仿宋_GB2312"/>
          <w:b w:val="0"/>
          <w:kern w:val="2"/>
          <w:sz w:val="32"/>
          <w:szCs w:val="32"/>
        </w:rPr>
        <w:t>-2018</w:t>
      </w:r>
      <w:r>
        <w:rPr>
          <w:rFonts w:ascii="仿宋_GB2312" w:eastAsia="仿宋_GB2312" w:hAnsi="仿宋_GB2312" w:cs="仿宋_GB2312"/>
          <w:b w:val="0"/>
          <w:kern w:val="2"/>
          <w:sz w:val="32"/>
          <w:szCs w:val="32"/>
        </w:rPr>
        <w:t>年</w:t>
      </w:r>
      <w:r>
        <w:rPr>
          <w:rFonts w:ascii="仿宋_GB2312" w:eastAsia="仿宋_GB2312" w:hAnsi="仿宋_GB2312" w:cs="仿宋_GB2312"/>
          <w:b w:val="0"/>
          <w:kern w:val="2"/>
          <w:sz w:val="32"/>
          <w:szCs w:val="32"/>
        </w:rPr>
        <w:t>6</w:t>
      </w:r>
      <w:r>
        <w:rPr>
          <w:rFonts w:ascii="仿宋_GB2312" w:eastAsia="仿宋_GB2312" w:hAnsi="仿宋_GB2312" w:cs="仿宋_GB2312"/>
          <w:b w:val="0"/>
          <w:kern w:val="2"/>
          <w:sz w:val="32"/>
          <w:szCs w:val="32"/>
        </w:rPr>
        <w:t>月开始对行业标准进行资料收集。</w:t>
      </w:r>
    </w:p>
    <w:p w14:paraId="054360DE" w14:textId="77777777" w:rsidR="00617096" w:rsidRDefault="00F43F9B">
      <w:pPr>
        <w:pStyle w:val="1"/>
        <w:widowControl/>
        <w:spacing w:before="0" w:beforeAutospacing="0" w:after="0" w:afterAutospacing="0" w:line="240" w:lineRule="auto"/>
        <w:ind w:firstLineChars="200" w:firstLine="640"/>
        <w:rPr>
          <w:rFonts w:ascii="仿宋_GB2312" w:eastAsia="仿宋_GB2312" w:hAnsi="仿宋_GB2312" w:cs="仿宋_GB2312" w:hint="default"/>
          <w:b w:val="0"/>
          <w:kern w:val="2"/>
          <w:sz w:val="32"/>
          <w:szCs w:val="32"/>
        </w:rPr>
      </w:pPr>
      <w:r>
        <w:rPr>
          <w:rFonts w:ascii="仿宋_GB2312" w:eastAsia="仿宋_GB2312" w:hAnsi="仿宋_GB2312" w:cs="仿宋_GB2312"/>
          <w:b w:val="0"/>
          <w:kern w:val="2"/>
          <w:sz w:val="32"/>
          <w:szCs w:val="32"/>
        </w:rPr>
        <w:lastRenderedPageBreak/>
        <w:t>标准调研</w:t>
      </w:r>
      <w:r>
        <w:rPr>
          <w:rFonts w:ascii="仿宋_GB2312" w:eastAsia="仿宋_GB2312" w:hAnsi="仿宋_GB2312" w:cs="仿宋_GB2312" w:hint="default"/>
          <w:b w:val="0"/>
          <w:kern w:val="2"/>
          <w:sz w:val="32"/>
          <w:szCs w:val="32"/>
          <w:lang w:val="en"/>
        </w:rPr>
        <w:t>。</w:t>
      </w:r>
      <w:r>
        <w:rPr>
          <w:rFonts w:ascii="仿宋_GB2312" w:eastAsia="仿宋_GB2312" w:hAnsi="仿宋_GB2312" w:cs="仿宋_GB2312"/>
          <w:b w:val="0"/>
          <w:kern w:val="2"/>
          <w:sz w:val="32"/>
          <w:szCs w:val="32"/>
        </w:rPr>
        <w:t>编写工作组</w:t>
      </w:r>
      <w:r>
        <w:rPr>
          <w:rFonts w:ascii="仿宋_GB2312" w:eastAsia="仿宋_GB2312" w:hAnsi="仿宋_GB2312" w:cs="仿宋_GB2312"/>
          <w:b w:val="0"/>
          <w:kern w:val="2"/>
          <w:sz w:val="32"/>
          <w:szCs w:val="32"/>
        </w:rPr>
        <w:t>2018</w:t>
      </w:r>
      <w:r>
        <w:rPr>
          <w:rFonts w:ascii="仿宋_GB2312" w:eastAsia="仿宋_GB2312" w:hAnsi="仿宋_GB2312" w:cs="仿宋_GB2312"/>
          <w:b w:val="0"/>
          <w:kern w:val="2"/>
          <w:sz w:val="32"/>
          <w:szCs w:val="32"/>
        </w:rPr>
        <w:t>年</w:t>
      </w:r>
      <w:r>
        <w:rPr>
          <w:rFonts w:ascii="仿宋_GB2312" w:eastAsia="仿宋_GB2312" w:hAnsi="仿宋_GB2312" w:cs="仿宋_GB2312"/>
          <w:b w:val="0"/>
          <w:kern w:val="2"/>
          <w:sz w:val="32"/>
          <w:szCs w:val="32"/>
        </w:rPr>
        <w:t>7</w:t>
      </w:r>
      <w:r>
        <w:rPr>
          <w:rFonts w:ascii="仿宋_GB2312" w:eastAsia="仿宋_GB2312" w:hAnsi="仿宋_GB2312" w:cs="仿宋_GB2312"/>
          <w:b w:val="0"/>
          <w:kern w:val="2"/>
          <w:sz w:val="32"/>
          <w:szCs w:val="32"/>
        </w:rPr>
        <w:t>月至</w:t>
      </w:r>
      <w:r>
        <w:rPr>
          <w:rFonts w:ascii="仿宋_GB2312" w:eastAsia="仿宋_GB2312" w:hAnsi="仿宋_GB2312" w:cs="仿宋_GB2312"/>
          <w:b w:val="0"/>
          <w:kern w:val="2"/>
          <w:sz w:val="32"/>
          <w:szCs w:val="32"/>
        </w:rPr>
        <w:t>2019</w:t>
      </w:r>
      <w:r>
        <w:rPr>
          <w:rFonts w:ascii="仿宋_GB2312" w:eastAsia="仿宋_GB2312" w:hAnsi="仿宋_GB2312" w:cs="仿宋_GB2312"/>
          <w:b w:val="0"/>
          <w:kern w:val="2"/>
          <w:sz w:val="32"/>
          <w:szCs w:val="32"/>
        </w:rPr>
        <w:t>年</w:t>
      </w:r>
      <w:r>
        <w:rPr>
          <w:rFonts w:ascii="仿宋_GB2312" w:eastAsia="仿宋_GB2312" w:hAnsi="仿宋_GB2312" w:cs="仿宋_GB2312"/>
          <w:b w:val="0"/>
          <w:kern w:val="2"/>
          <w:sz w:val="32"/>
          <w:szCs w:val="32"/>
        </w:rPr>
        <w:t>6</w:t>
      </w:r>
      <w:r>
        <w:rPr>
          <w:rFonts w:ascii="仿宋_GB2312" w:eastAsia="仿宋_GB2312" w:hAnsi="仿宋_GB2312" w:cs="仿宋_GB2312"/>
          <w:b w:val="0"/>
          <w:kern w:val="2"/>
          <w:sz w:val="32"/>
          <w:szCs w:val="32"/>
        </w:rPr>
        <w:t>月，对托盘生产企业、托盘运营企业、第三方物流企业等进行广泛调研。</w:t>
      </w:r>
    </w:p>
    <w:p w14:paraId="04E7E551" w14:textId="77777777" w:rsidR="00617096" w:rsidRDefault="00F43F9B">
      <w:pPr>
        <w:pStyle w:val="1"/>
        <w:widowControl/>
        <w:spacing w:before="0" w:beforeAutospacing="0" w:after="0" w:afterAutospacing="0"/>
        <w:ind w:firstLineChars="200" w:firstLine="640"/>
        <w:rPr>
          <w:rFonts w:ascii="仿宋_GB2312" w:eastAsia="仿宋_GB2312" w:hAnsi="仿宋_GB2312" w:cs="仿宋_GB2312" w:hint="default"/>
          <w:b w:val="0"/>
          <w:kern w:val="2"/>
          <w:sz w:val="32"/>
          <w:szCs w:val="32"/>
        </w:rPr>
      </w:pPr>
      <w:r>
        <w:rPr>
          <w:rFonts w:ascii="仿宋_GB2312" w:eastAsia="仿宋_GB2312" w:hAnsi="仿宋_GB2312" w:cs="仿宋_GB2312"/>
          <w:b w:val="0"/>
          <w:kern w:val="2"/>
          <w:sz w:val="32"/>
          <w:szCs w:val="32"/>
        </w:rPr>
        <w:t>形成标准草案稿</w:t>
      </w:r>
      <w:r>
        <w:rPr>
          <w:rFonts w:ascii="仿宋_GB2312" w:eastAsia="仿宋_GB2312" w:hAnsi="仿宋_GB2312" w:cs="仿宋_GB2312" w:hint="default"/>
          <w:b w:val="0"/>
          <w:kern w:val="2"/>
          <w:sz w:val="32"/>
          <w:szCs w:val="32"/>
          <w:lang w:val="en"/>
        </w:rPr>
        <w:t>。</w:t>
      </w:r>
      <w:r>
        <w:rPr>
          <w:rFonts w:ascii="仿宋_GB2312" w:eastAsia="仿宋_GB2312" w:hAnsi="仿宋_GB2312" w:cs="仿宋_GB2312"/>
          <w:b w:val="0"/>
          <w:kern w:val="2"/>
          <w:sz w:val="32"/>
          <w:szCs w:val="32"/>
        </w:rPr>
        <w:t>2019</w:t>
      </w:r>
      <w:r>
        <w:rPr>
          <w:rFonts w:ascii="仿宋_GB2312" w:eastAsia="仿宋_GB2312" w:hAnsi="仿宋_GB2312" w:cs="仿宋_GB2312"/>
          <w:b w:val="0"/>
          <w:kern w:val="2"/>
          <w:sz w:val="32"/>
          <w:szCs w:val="32"/>
        </w:rPr>
        <w:t>年</w:t>
      </w:r>
      <w:r>
        <w:rPr>
          <w:rFonts w:ascii="仿宋_GB2312" w:eastAsia="仿宋_GB2312" w:hAnsi="仿宋_GB2312" w:cs="仿宋_GB2312"/>
          <w:b w:val="0"/>
          <w:kern w:val="2"/>
          <w:sz w:val="32"/>
          <w:szCs w:val="32"/>
        </w:rPr>
        <w:t>7</w:t>
      </w:r>
      <w:r>
        <w:rPr>
          <w:rFonts w:ascii="仿宋_GB2312" w:eastAsia="仿宋_GB2312" w:hAnsi="仿宋_GB2312" w:cs="仿宋_GB2312"/>
          <w:b w:val="0"/>
          <w:kern w:val="2"/>
          <w:sz w:val="32"/>
          <w:szCs w:val="32"/>
        </w:rPr>
        <w:t>月至</w:t>
      </w:r>
      <w:r>
        <w:rPr>
          <w:rFonts w:ascii="仿宋_GB2312" w:eastAsia="仿宋_GB2312" w:hAnsi="仿宋_GB2312" w:cs="仿宋_GB2312"/>
          <w:b w:val="0"/>
          <w:kern w:val="2"/>
          <w:sz w:val="32"/>
          <w:szCs w:val="32"/>
        </w:rPr>
        <w:t>12</w:t>
      </w:r>
      <w:r>
        <w:rPr>
          <w:rFonts w:ascii="仿宋_GB2312" w:eastAsia="仿宋_GB2312" w:hAnsi="仿宋_GB2312" w:cs="仿宋_GB2312"/>
          <w:b w:val="0"/>
          <w:kern w:val="2"/>
          <w:sz w:val="32"/>
          <w:szCs w:val="32"/>
        </w:rPr>
        <w:t>月，编写工作组开始制定标准草案，并于小组内部组</w:t>
      </w:r>
      <w:r>
        <w:rPr>
          <w:rFonts w:ascii="仿宋_GB2312" w:eastAsia="仿宋_GB2312" w:hAnsi="仿宋_GB2312" w:cs="仿宋_GB2312"/>
          <w:b w:val="0"/>
          <w:kern w:val="2"/>
          <w:sz w:val="32"/>
          <w:szCs w:val="32"/>
        </w:rPr>
        <w:t>织专家召开专项会议，汇报、讨论标准编制的内容及进展。</w:t>
      </w:r>
    </w:p>
    <w:p w14:paraId="4F54FE89" w14:textId="204FD47E" w:rsidR="00617096" w:rsidRDefault="00F43F9B">
      <w:pPr>
        <w:pStyle w:val="1"/>
        <w:widowControl/>
        <w:spacing w:before="0" w:beforeAutospacing="0" w:after="0" w:afterAutospacing="0" w:line="240" w:lineRule="auto"/>
        <w:ind w:firstLineChars="200" w:firstLine="640"/>
        <w:rPr>
          <w:rFonts w:ascii="仿宋_GB2312" w:eastAsia="仿宋_GB2312" w:hAnsi="仿宋_GB2312" w:cs="仿宋_GB2312" w:hint="default"/>
          <w:kern w:val="2"/>
          <w:sz w:val="32"/>
          <w:szCs w:val="32"/>
        </w:rPr>
      </w:pPr>
      <w:r>
        <w:rPr>
          <w:rFonts w:ascii="仿宋_GB2312" w:eastAsia="仿宋_GB2312" w:hAnsi="仿宋_GB2312" w:cs="仿宋_GB2312"/>
          <w:b w:val="0"/>
          <w:kern w:val="2"/>
          <w:sz w:val="32"/>
          <w:szCs w:val="32"/>
        </w:rPr>
        <w:t>形成标准初稿</w:t>
      </w:r>
      <w:r>
        <w:rPr>
          <w:rFonts w:ascii="仿宋_GB2312" w:eastAsia="仿宋_GB2312" w:hAnsi="仿宋_GB2312" w:cs="仿宋_GB2312" w:hint="default"/>
          <w:b w:val="0"/>
          <w:kern w:val="2"/>
          <w:sz w:val="32"/>
          <w:szCs w:val="32"/>
          <w:lang w:val="en"/>
        </w:rPr>
        <w:t>。</w:t>
      </w:r>
      <w:r>
        <w:rPr>
          <w:rFonts w:ascii="仿宋_GB2312" w:eastAsia="仿宋_GB2312" w:hAnsi="仿宋_GB2312" w:cs="仿宋_GB2312"/>
          <w:b w:val="0"/>
          <w:kern w:val="2"/>
          <w:sz w:val="32"/>
          <w:szCs w:val="32"/>
        </w:rPr>
        <w:t>2020</w:t>
      </w:r>
      <w:r>
        <w:rPr>
          <w:rFonts w:ascii="仿宋_GB2312" w:eastAsia="仿宋_GB2312" w:hAnsi="仿宋_GB2312" w:cs="仿宋_GB2312"/>
          <w:b w:val="0"/>
          <w:kern w:val="2"/>
          <w:sz w:val="32"/>
          <w:szCs w:val="32"/>
        </w:rPr>
        <w:t>年</w:t>
      </w:r>
      <w:r>
        <w:rPr>
          <w:rFonts w:ascii="仿宋_GB2312" w:eastAsia="仿宋_GB2312" w:hAnsi="仿宋_GB2312" w:cs="仿宋_GB2312"/>
          <w:b w:val="0"/>
          <w:kern w:val="2"/>
          <w:sz w:val="32"/>
          <w:szCs w:val="32"/>
        </w:rPr>
        <w:t>1</w:t>
      </w:r>
      <w:r>
        <w:rPr>
          <w:rFonts w:ascii="仿宋_GB2312" w:eastAsia="仿宋_GB2312" w:hAnsi="仿宋_GB2312" w:cs="仿宋_GB2312"/>
          <w:b w:val="0"/>
          <w:kern w:val="2"/>
          <w:sz w:val="32"/>
          <w:szCs w:val="32"/>
        </w:rPr>
        <w:t>月</w:t>
      </w:r>
      <w:r>
        <w:rPr>
          <w:rFonts w:ascii="仿宋_GB2312" w:eastAsia="仿宋_GB2312" w:hAnsi="仿宋_GB2312" w:cs="仿宋_GB2312"/>
          <w:b w:val="0"/>
          <w:kern w:val="2"/>
          <w:sz w:val="32"/>
          <w:szCs w:val="32"/>
        </w:rPr>
        <w:t>-10</w:t>
      </w:r>
      <w:r>
        <w:rPr>
          <w:rFonts w:ascii="仿宋_GB2312" w:eastAsia="仿宋_GB2312" w:hAnsi="仿宋_GB2312" w:cs="仿宋_GB2312"/>
          <w:b w:val="0"/>
          <w:kern w:val="2"/>
          <w:sz w:val="32"/>
          <w:szCs w:val="32"/>
        </w:rPr>
        <w:t>月，考虑到全国疫情情况。主要编写单位组织在</w:t>
      </w:r>
      <w:r>
        <w:rPr>
          <w:rFonts w:ascii="仿宋_GB2312" w:eastAsia="仿宋_GB2312" w:hAnsi="仿宋_GB2312" w:cs="仿宋_GB2312"/>
          <w:b w:val="0"/>
          <w:kern w:val="2"/>
          <w:sz w:val="32"/>
          <w:szCs w:val="32"/>
        </w:rPr>
        <w:t>10</w:t>
      </w:r>
      <w:r>
        <w:rPr>
          <w:rFonts w:ascii="仿宋_GB2312" w:eastAsia="仿宋_GB2312" w:hAnsi="仿宋_GB2312" w:cs="仿宋_GB2312"/>
          <w:b w:val="0"/>
          <w:kern w:val="2"/>
          <w:sz w:val="32"/>
          <w:szCs w:val="32"/>
        </w:rPr>
        <w:t>月初召开了各参编单位的视频会议，集中讨论与研究标准草案稿，对标准的框架、内容、章节内容进行积极的讨论，形成标准初稿。</w:t>
      </w:r>
      <w:r>
        <w:rPr>
          <w:rFonts w:ascii="仿宋_GB2312" w:eastAsia="仿宋_GB2312" w:hAnsi="仿宋_GB2312" w:cs="仿宋_GB2312"/>
          <w:kern w:val="2"/>
          <w:sz w:val="32"/>
          <w:szCs w:val="32"/>
        </w:rPr>
        <w:t xml:space="preserve"> </w:t>
      </w:r>
    </w:p>
    <w:p w14:paraId="0C24B1C5" w14:textId="77777777" w:rsidR="00617096" w:rsidRDefault="00F43F9B">
      <w:pPr>
        <w:pStyle w:val="1"/>
        <w:widowControl/>
        <w:spacing w:before="0" w:beforeAutospacing="0" w:after="0" w:afterAutospacing="0" w:line="240" w:lineRule="auto"/>
        <w:ind w:firstLine="640"/>
        <w:rPr>
          <w:rFonts w:ascii="黑体" w:eastAsia="黑体" w:hAnsi="黑体" w:cs="黑体" w:hint="default"/>
          <w:b w:val="0"/>
          <w:bCs/>
          <w:kern w:val="2"/>
          <w:sz w:val="32"/>
          <w:szCs w:val="32"/>
        </w:rPr>
      </w:pPr>
      <w:r>
        <w:rPr>
          <w:rFonts w:ascii="黑体" w:eastAsia="黑体" w:hAnsi="黑体" w:cs="黑体"/>
          <w:b w:val="0"/>
          <w:bCs/>
          <w:kern w:val="2"/>
          <w:sz w:val="32"/>
          <w:szCs w:val="32"/>
        </w:rPr>
        <w:t>五、标准编制原则</w:t>
      </w:r>
    </w:p>
    <w:p w14:paraId="76C48A3C" w14:textId="77777777" w:rsidR="00617096" w:rsidRDefault="00F43F9B">
      <w:pPr>
        <w:pStyle w:val="1"/>
        <w:widowControl/>
        <w:spacing w:before="0" w:beforeAutospacing="0" w:after="0" w:afterAutospacing="0" w:line="240" w:lineRule="auto"/>
        <w:ind w:firstLineChars="200" w:firstLine="640"/>
        <w:rPr>
          <w:rFonts w:ascii="仿宋_GB2312" w:eastAsia="仿宋_GB2312" w:hAnsi="仿宋_GB2312" w:cs="仿宋_GB2312" w:hint="default"/>
          <w:b w:val="0"/>
          <w:kern w:val="2"/>
          <w:sz w:val="32"/>
          <w:szCs w:val="32"/>
        </w:rPr>
      </w:pPr>
      <w:r>
        <w:rPr>
          <w:rFonts w:ascii="仿宋_GB2312" w:eastAsia="仿宋_GB2312" w:hAnsi="仿宋_GB2312" w:cs="仿宋_GB2312"/>
          <w:b w:val="0"/>
          <w:kern w:val="2"/>
          <w:sz w:val="32"/>
          <w:szCs w:val="32"/>
        </w:rPr>
        <w:t>本文件按照</w:t>
      </w:r>
      <w:r>
        <w:rPr>
          <w:rFonts w:ascii="仿宋_GB2312" w:eastAsia="仿宋_GB2312" w:hAnsi="仿宋_GB2312" w:cs="仿宋_GB2312"/>
          <w:b w:val="0"/>
          <w:kern w:val="2"/>
          <w:sz w:val="32"/>
          <w:szCs w:val="32"/>
        </w:rPr>
        <w:t xml:space="preserve">GB/T </w:t>
      </w:r>
      <w:r>
        <w:rPr>
          <w:rFonts w:ascii="仿宋_GB2312" w:eastAsia="仿宋_GB2312" w:hAnsi="仿宋_GB2312" w:cs="仿宋_GB2312"/>
          <w:b w:val="0"/>
          <w:kern w:val="2"/>
          <w:sz w:val="32"/>
          <w:szCs w:val="32"/>
        </w:rPr>
        <w:t>1.1-2020</w:t>
      </w:r>
      <w:r>
        <w:rPr>
          <w:rFonts w:ascii="仿宋_GB2312" w:eastAsia="仿宋_GB2312" w:hAnsi="仿宋_GB2312" w:cs="仿宋_GB2312"/>
          <w:b w:val="0"/>
          <w:kern w:val="2"/>
          <w:sz w:val="32"/>
          <w:szCs w:val="32"/>
        </w:rPr>
        <w:t>给出的规则进行编写。编制过程中，参考了相关国家标准、行业标准和法律法规的要求，充分收集现有行业资料，力求以实事求是的原则使行业标准具有科学性、先进性。本标准的制定依据以下原则：</w:t>
      </w:r>
    </w:p>
    <w:p w14:paraId="6CF81E6C" w14:textId="77777777" w:rsidR="00617096" w:rsidRDefault="00F43F9B">
      <w:pPr>
        <w:pStyle w:val="1"/>
        <w:widowControl/>
        <w:spacing w:before="0" w:beforeAutospacing="0" w:after="0" w:afterAutospacing="0" w:line="240" w:lineRule="auto"/>
        <w:ind w:firstLineChars="200" w:firstLine="643"/>
        <w:rPr>
          <w:rFonts w:ascii="仿宋_GB2312" w:eastAsia="仿宋_GB2312" w:hAnsi="仿宋_GB2312" w:cs="仿宋_GB2312" w:hint="default"/>
          <w:b w:val="0"/>
          <w:kern w:val="2"/>
          <w:sz w:val="32"/>
          <w:szCs w:val="32"/>
        </w:rPr>
      </w:pPr>
      <w:r>
        <w:rPr>
          <w:rFonts w:ascii="楷体" w:eastAsia="楷体" w:hAnsi="楷体" w:cs="楷体"/>
          <w:bCs/>
          <w:kern w:val="2"/>
          <w:sz w:val="32"/>
          <w:szCs w:val="32"/>
        </w:rPr>
        <w:t>（一）统一性原则。</w:t>
      </w:r>
      <w:r>
        <w:rPr>
          <w:rFonts w:ascii="仿宋_GB2312" w:eastAsia="仿宋_GB2312" w:hAnsi="仿宋_GB2312" w:cs="仿宋_GB2312"/>
          <w:b w:val="0"/>
          <w:kern w:val="2"/>
          <w:sz w:val="32"/>
          <w:szCs w:val="32"/>
        </w:rPr>
        <w:t>标准内结构、文体、术语都实现统一，保证标准的使用者无歧义地理解。</w:t>
      </w:r>
    </w:p>
    <w:p w14:paraId="05B4148B" w14:textId="77777777" w:rsidR="00617096" w:rsidRDefault="00F43F9B">
      <w:pPr>
        <w:pStyle w:val="1"/>
        <w:widowControl/>
        <w:spacing w:before="0" w:beforeAutospacing="0" w:after="0" w:afterAutospacing="0" w:line="240" w:lineRule="auto"/>
        <w:ind w:firstLineChars="200" w:firstLine="643"/>
        <w:rPr>
          <w:rFonts w:ascii="仿宋_GB2312" w:eastAsia="仿宋_GB2312" w:hAnsi="仿宋_GB2312" w:cs="仿宋_GB2312" w:hint="default"/>
          <w:b w:val="0"/>
          <w:kern w:val="2"/>
          <w:sz w:val="32"/>
          <w:szCs w:val="32"/>
        </w:rPr>
      </w:pPr>
      <w:r>
        <w:rPr>
          <w:rFonts w:ascii="楷体" w:eastAsia="楷体" w:hAnsi="楷体" w:cs="楷体"/>
          <w:bCs/>
          <w:kern w:val="2"/>
          <w:sz w:val="32"/>
          <w:szCs w:val="32"/>
        </w:rPr>
        <w:t>（二）协调性原则。</w:t>
      </w:r>
      <w:r>
        <w:rPr>
          <w:rFonts w:ascii="仿宋_GB2312" w:eastAsia="仿宋_GB2312" w:hAnsi="仿宋_GB2312" w:cs="仿宋_GB2312"/>
          <w:b w:val="0"/>
          <w:kern w:val="2"/>
          <w:sz w:val="32"/>
          <w:szCs w:val="32"/>
        </w:rPr>
        <w:t>本文件作为物流行业中循环共用托盘的行业标准，征求了行业多家企业的参考意见和现实需求，从行业角度来说，达到协调统一。</w:t>
      </w:r>
    </w:p>
    <w:p w14:paraId="6884BCFC" w14:textId="77777777" w:rsidR="00617096" w:rsidRDefault="00F43F9B">
      <w:pPr>
        <w:pStyle w:val="1"/>
        <w:widowControl/>
        <w:spacing w:before="0" w:beforeAutospacing="0" w:after="0" w:afterAutospacing="0" w:line="240" w:lineRule="auto"/>
        <w:ind w:firstLineChars="200" w:firstLine="643"/>
        <w:rPr>
          <w:rFonts w:ascii="仿宋_GB2312" w:eastAsia="仿宋_GB2312" w:hAnsi="仿宋_GB2312" w:cs="仿宋_GB2312" w:hint="default"/>
          <w:b w:val="0"/>
          <w:kern w:val="2"/>
          <w:sz w:val="32"/>
          <w:szCs w:val="32"/>
        </w:rPr>
      </w:pPr>
      <w:r>
        <w:rPr>
          <w:rFonts w:ascii="楷体" w:eastAsia="楷体" w:hAnsi="楷体" w:cs="楷体"/>
          <w:bCs/>
          <w:kern w:val="2"/>
          <w:sz w:val="32"/>
          <w:szCs w:val="32"/>
        </w:rPr>
        <w:t>（三）适用性原则。</w:t>
      </w:r>
      <w:r>
        <w:rPr>
          <w:rFonts w:ascii="仿宋_GB2312" w:eastAsia="仿宋_GB2312" w:hAnsi="仿宋_GB2312" w:cs="仿宋_GB2312"/>
          <w:b w:val="0"/>
          <w:kern w:val="2"/>
          <w:sz w:val="32"/>
          <w:szCs w:val="32"/>
        </w:rPr>
        <w:t>本文件中的内容可直接使用，也易于被其他标准或文件引用。</w:t>
      </w:r>
    </w:p>
    <w:p w14:paraId="4752FAFE" w14:textId="77777777" w:rsidR="00617096" w:rsidRDefault="00F43F9B">
      <w:pPr>
        <w:pStyle w:val="1"/>
        <w:widowControl/>
        <w:spacing w:before="0" w:beforeAutospacing="0" w:after="0" w:afterAutospacing="0" w:line="240" w:lineRule="auto"/>
        <w:ind w:firstLineChars="200" w:firstLine="643"/>
        <w:rPr>
          <w:rFonts w:ascii="仿宋_GB2312" w:eastAsia="仿宋_GB2312" w:hAnsi="仿宋_GB2312" w:cs="仿宋_GB2312" w:hint="default"/>
          <w:b w:val="0"/>
          <w:kern w:val="2"/>
          <w:sz w:val="32"/>
          <w:szCs w:val="32"/>
        </w:rPr>
      </w:pPr>
      <w:r>
        <w:rPr>
          <w:rFonts w:ascii="楷体" w:eastAsia="楷体" w:hAnsi="楷体" w:cs="楷体"/>
          <w:bCs/>
          <w:kern w:val="2"/>
          <w:sz w:val="32"/>
          <w:szCs w:val="32"/>
        </w:rPr>
        <w:lastRenderedPageBreak/>
        <w:t>（四）规范性原则。</w:t>
      </w:r>
      <w:r>
        <w:rPr>
          <w:rFonts w:ascii="仿宋_GB2312" w:eastAsia="仿宋_GB2312" w:hAnsi="仿宋_GB2312" w:cs="仿宋_GB2312"/>
          <w:b w:val="0"/>
          <w:kern w:val="2"/>
          <w:sz w:val="32"/>
          <w:szCs w:val="32"/>
        </w:rPr>
        <w:t>本文件的</w:t>
      </w:r>
      <w:r>
        <w:rPr>
          <w:rFonts w:ascii="仿宋_GB2312" w:eastAsia="仿宋_GB2312" w:hAnsi="仿宋_GB2312" w:cs="仿宋_GB2312"/>
          <w:b w:val="0"/>
          <w:kern w:val="2"/>
          <w:sz w:val="32"/>
          <w:szCs w:val="32"/>
        </w:rPr>
        <w:t>起草遵守与标准制定有关的基础标准以及相应法律法规的要求。</w:t>
      </w:r>
    </w:p>
    <w:p w14:paraId="5573CE3E" w14:textId="77777777" w:rsidR="00617096" w:rsidRDefault="00F43F9B">
      <w:pPr>
        <w:pStyle w:val="1"/>
        <w:widowControl/>
        <w:spacing w:before="0" w:beforeAutospacing="0" w:after="0" w:afterAutospacing="0" w:line="240" w:lineRule="auto"/>
        <w:ind w:firstLineChars="200" w:firstLine="640"/>
        <w:rPr>
          <w:rFonts w:ascii="黑体" w:eastAsia="黑体" w:hAnsi="黑体" w:cs="黑体" w:hint="default"/>
          <w:b w:val="0"/>
          <w:bCs/>
          <w:kern w:val="2"/>
          <w:sz w:val="32"/>
          <w:szCs w:val="32"/>
        </w:rPr>
      </w:pPr>
      <w:r>
        <w:rPr>
          <w:rFonts w:ascii="黑体" w:eastAsia="黑体" w:hAnsi="黑体" w:cs="黑体"/>
          <w:b w:val="0"/>
          <w:bCs/>
          <w:kern w:val="2"/>
          <w:sz w:val="32"/>
          <w:szCs w:val="32"/>
        </w:rPr>
        <w:t>六、标准主要内容</w:t>
      </w:r>
    </w:p>
    <w:p w14:paraId="56BC16E9" w14:textId="77777777" w:rsidR="00617096" w:rsidRDefault="00F43F9B">
      <w:pPr>
        <w:pStyle w:val="ad"/>
        <w:spacing w:line="24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本标准规定了循环共用系统托盘的术语和定义、样式、要求、试验方法、质量控制及标识等内容。</w:t>
      </w:r>
    </w:p>
    <w:p w14:paraId="08C7C230" w14:textId="77777777" w:rsidR="00617096" w:rsidRDefault="00F43F9B">
      <w:pPr>
        <w:spacing w:line="240" w:lineRule="auto"/>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（一）适用范围</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本标准适用于在托盘循环共用系统中反复使用的木质平托盘的生产和使用，其他系统内的托盘可参照使用。</w:t>
      </w:r>
    </w:p>
    <w:p w14:paraId="7271613C" w14:textId="77777777" w:rsidR="00617096" w:rsidRPr="00AB4A68" w:rsidRDefault="00F43F9B">
      <w:pPr>
        <w:spacing w:line="240" w:lineRule="auto"/>
        <w:ind w:firstLineChars="200" w:firstLine="643"/>
        <w:rPr>
          <w:rFonts w:ascii="楷体" w:eastAsia="楷体" w:hAnsi="楷体" w:cs="楷体"/>
          <w:bCs/>
          <w:sz w:val="32"/>
          <w:szCs w:val="32"/>
        </w:rPr>
      </w:pPr>
      <w:r w:rsidRPr="00AB4A68">
        <w:rPr>
          <w:rFonts w:ascii="楷体" w:eastAsia="楷体" w:hAnsi="楷体" w:cs="楷体" w:hint="eastAsia"/>
          <w:b/>
          <w:bCs/>
          <w:sz w:val="32"/>
          <w:szCs w:val="32"/>
        </w:rPr>
        <w:t>（二）尺寸公差。</w:t>
      </w:r>
      <w:r w:rsidRPr="00AB4A68">
        <w:rPr>
          <w:rFonts w:ascii="仿宋_GB2312" w:eastAsia="仿宋_GB2312" w:hAnsi="仿宋_GB2312" w:cs="仿宋_GB2312" w:hint="eastAsia"/>
          <w:sz w:val="32"/>
          <w:szCs w:val="32"/>
        </w:rPr>
        <w:t>本标准明确了循环共用托盘整体和单个部件的长、宽、高尺寸和公差要求。对于</w:t>
      </w:r>
      <w:proofErr w:type="gramStart"/>
      <w:r w:rsidRPr="00AB4A68">
        <w:rPr>
          <w:rFonts w:ascii="仿宋_GB2312" w:eastAsia="仿宋_GB2312" w:hAnsi="仿宋_GB2312" w:cs="仿宋_GB2312" w:hint="eastAsia"/>
          <w:sz w:val="32"/>
          <w:szCs w:val="32"/>
        </w:rPr>
        <w:t>底板倒棱尺寸</w:t>
      </w:r>
      <w:proofErr w:type="gramEnd"/>
      <w:r w:rsidRPr="00AB4A68">
        <w:rPr>
          <w:rFonts w:ascii="仿宋_GB2312" w:eastAsia="仿宋_GB2312" w:hAnsi="仿宋_GB2312" w:cs="仿宋_GB2312" w:hint="eastAsia"/>
          <w:sz w:val="32"/>
          <w:szCs w:val="32"/>
        </w:rPr>
        <w:t>、两对角线之差和</w:t>
      </w:r>
      <w:proofErr w:type="gramStart"/>
      <w:r w:rsidRPr="00AB4A68">
        <w:rPr>
          <w:rFonts w:ascii="仿宋_GB2312" w:eastAsia="仿宋_GB2312" w:hAnsi="仿宋_GB2312" w:cs="仿宋_GB2312" w:hint="eastAsia"/>
          <w:sz w:val="32"/>
          <w:szCs w:val="32"/>
        </w:rPr>
        <w:t>中间垫块的</w:t>
      </w:r>
      <w:proofErr w:type="gramEnd"/>
      <w:r w:rsidRPr="00AB4A68">
        <w:rPr>
          <w:rFonts w:ascii="仿宋_GB2312" w:eastAsia="仿宋_GB2312" w:hAnsi="仿宋_GB2312" w:cs="仿宋_GB2312" w:hint="eastAsia"/>
          <w:sz w:val="32"/>
          <w:szCs w:val="32"/>
        </w:rPr>
        <w:t>位置尺寸提出了具体的要求。</w:t>
      </w:r>
    </w:p>
    <w:p w14:paraId="02AC24AD" w14:textId="77777777" w:rsidR="00617096" w:rsidRPr="00AB4A68" w:rsidRDefault="00F43F9B">
      <w:pPr>
        <w:spacing w:line="240" w:lineRule="auto"/>
        <w:ind w:firstLineChars="200" w:firstLine="643"/>
        <w:rPr>
          <w:rFonts w:ascii="仿宋_GB2312" w:eastAsia="仿宋_GB2312" w:hAnsi="仿宋_GB2312" w:cs="仿宋_GB2312"/>
          <w:sz w:val="32"/>
          <w:szCs w:val="32"/>
        </w:rPr>
      </w:pPr>
      <w:r w:rsidRPr="00AB4A68">
        <w:rPr>
          <w:rFonts w:ascii="楷体" w:eastAsia="楷体" w:hAnsi="楷体" w:cs="楷体" w:hint="eastAsia"/>
          <w:b/>
          <w:bCs/>
          <w:sz w:val="32"/>
          <w:szCs w:val="32"/>
        </w:rPr>
        <w:t>（三）部件要求</w:t>
      </w:r>
      <w:r w:rsidRPr="00AB4A68">
        <w:rPr>
          <w:rFonts w:ascii="楷体" w:eastAsia="楷体" w:hAnsi="楷体" w:cs="楷体" w:hint="eastAsia"/>
          <w:bCs/>
          <w:sz w:val="32"/>
          <w:szCs w:val="32"/>
        </w:rPr>
        <w:t>。</w:t>
      </w:r>
      <w:r w:rsidRPr="00AB4A68">
        <w:rPr>
          <w:rFonts w:ascii="仿宋_GB2312" w:eastAsia="仿宋_GB2312" w:hAnsi="仿宋_GB2312" w:cs="仿宋_GB2312"/>
          <w:sz w:val="32"/>
          <w:szCs w:val="32"/>
        </w:rPr>
        <w:t>本标准规定了循环共用托盘适用的树种范围、含水率要求和各部件木材质量要求。</w:t>
      </w:r>
    </w:p>
    <w:p w14:paraId="2107A74A" w14:textId="77777777" w:rsidR="00617096" w:rsidRPr="00AB4A68" w:rsidRDefault="00F43F9B">
      <w:pPr>
        <w:spacing w:line="240" w:lineRule="auto"/>
        <w:ind w:firstLineChars="200" w:firstLine="640"/>
        <w:rPr>
          <w:rFonts w:ascii="仿宋_GB2312" w:eastAsia="仿宋_GB2312" w:hAnsi="仿宋_GB2312" w:cs="仿宋_GB2312"/>
          <w:sz w:val="32"/>
          <w:szCs w:val="32"/>
        </w:rPr>
      </w:pPr>
      <w:r w:rsidRPr="00AB4A68">
        <w:rPr>
          <w:rFonts w:ascii="仿宋_GB2312" w:eastAsia="仿宋_GB2312" w:hAnsi="仿宋_GB2312" w:cs="仿宋_GB2312" w:hint="eastAsia"/>
          <w:sz w:val="32"/>
          <w:szCs w:val="32"/>
        </w:rPr>
        <w:t>（</w:t>
      </w:r>
      <w:r w:rsidRPr="00AB4A68">
        <w:rPr>
          <w:rFonts w:ascii="仿宋_GB2312" w:eastAsia="仿宋_GB2312" w:hAnsi="仿宋_GB2312" w:cs="仿宋_GB2312" w:hint="eastAsia"/>
          <w:sz w:val="32"/>
          <w:szCs w:val="32"/>
        </w:rPr>
        <w:t>1</w:t>
      </w:r>
      <w:r w:rsidRPr="00AB4A68">
        <w:rPr>
          <w:rFonts w:ascii="仿宋_GB2312" w:eastAsia="仿宋_GB2312" w:hAnsi="仿宋_GB2312" w:cs="仿宋_GB2312" w:hint="eastAsia"/>
          <w:sz w:val="32"/>
          <w:szCs w:val="32"/>
        </w:rPr>
        <w:t>）规定</w:t>
      </w:r>
      <w:r w:rsidRPr="00AB4A68">
        <w:rPr>
          <w:rFonts w:ascii="仿宋_GB2312" w:eastAsia="仿宋_GB2312" w:hAnsi="仿宋_GB2312" w:cs="仿宋_GB2312" w:hint="eastAsia"/>
          <w:sz w:val="32"/>
          <w:szCs w:val="32"/>
        </w:rPr>
        <w:t>木质平托盘用木材树种为马尾松、南方松、铁杉、花旗松、落叶松、辐射松、欧洲赤松，其中辐射松仅限用于顶铺板和垫块。</w:t>
      </w:r>
    </w:p>
    <w:p w14:paraId="3DA97C54" w14:textId="77777777" w:rsidR="00617096" w:rsidRPr="00AB4A68" w:rsidRDefault="00F43F9B">
      <w:pPr>
        <w:spacing w:line="240" w:lineRule="auto"/>
        <w:ind w:firstLineChars="200" w:firstLine="640"/>
        <w:rPr>
          <w:rFonts w:ascii="仿宋_GB2312" w:eastAsia="仿宋_GB2312" w:hAnsi="仿宋_GB2312" w:cs="仿宋_GB2312"/>
          <w:sz w:val="32"/>
          <w:szCs w:val="32"/>
          <w:lang w:bidi="ar"/>
        </w:rPr>
      </w:pPr>
      <w:r w:rsidRPr="00AB4A68">
        <w:rPr>
          <w:rFonts w:ascii="仿宋_GB2312" w:eastAsia="仿宋_GB2312" w:hAnsi="仿宋_GB2312" w:cs="仿宋_GB2312" w:hint="eastAsia"/>
          <w:sz w:val="32"/>
          <w:szCs w:val="32"/>
        </w:rPr>
        <w:t>（</w:t>
      </w:r>
      <w:r w:rsidRPr="00AB4A68">
        <w:rPr>
          <w:rFonts w:ascii="仿宋_GB2312" w:eastAsia="仿宋_GB2312" w:hAnsi="仿宋_GB2312" w:cs="仿宋_GB2312" w:hint="eastAsia"/>
          <w:sz w:val="32"/>
          <w:szCs w:val="32"/>
        </w:rPr>
        <w:t>2</w:t>
      </w:r>
      <w:r w:rsidRPr="00AB4A68">
        <w:rPr>
          <w:rFonts w:ascii="仿宋_GB2312" w:eastAsia="仿宋_GB2312" w:hAnsi="仿宋_GB2312" w:cs="仿宋_GB2312" w:hint="eastAsia"/>
          <w:sz w:val="32"/>
          <w:szCs w:val="32"/>
        </w:rPr>
        <w:t>）</w:t>
      </w:r>
      <w:r w:rsidRPr="00AB4A68">
        <w:rPr>
          <w:rFonts w:ascii="仿宋_GB2312" w:eastAsia="仿宋_GB2312" w:hAnsi="仿宋_GB2312" w:cs="仿宋_GB2312" w:hint="eastAsia"/>
          <w:sz w:val="32"/>
          <w:szCs w:val="32"/>
          <w:lang w:bidi="ar"/>
        </w:rPr>
        <w:t>木质平托盘各部件的含水率不应高于</w:t>
      </w:r>
      <w:r w:rsidRPr="00AB4A68">
        <w:rPr>
          <w:rFonts w:ascii="仿宋_GB2312" w:eastAsia="仿宋_GB2312" w:hAnsi="仿宋_GB2312" w:cs="仿宋_GB2312"/>
          <w:sz w:val="32"/>
          <w:szCs w:val="32"/>
          <w:lang w:bidi="ar"/>
        </w:rPr>
        <w:t>20%</w:t>
      </w:r>
      <w:r w:rsidRPr="00AB4A68">
        <w:rPr>
          <w:rFonts w:ascii="仿宋_GB2312" w:eastAsia="仿宋_GB2312" w:hAnsi="仿宋_GB2312" w:cs="仿宋_GB2312"/>
          <w:sz w:val="32"/>
          <w:szCs w:val="32"/>
          <w:lang w:bidi="ar"/>
        </w:rPr>
        <w:t>。</w:t>
      </w:r>
      <w:r w:rsidRPr="00AB4A68">
        <w:rPr>
          <w:rFonts w:ascii="仿宋_GB2312" w:eastAsia="仿宋_GB2312" w:hAnsi="仿宋_GB2312" w:cs="仿宋_GB2312" w:hint="eastAsia"/>
          <w:sz w:val="32"/>
          <w:szCs w:val="32"/>
          <w:lang w:bidi="ar"/>
        </w:rPr>
        <w:t>与国标保持一致。</w:t>
      </w:r>
    </w:p>
    <w:p w14:paraId="2A138712" w14:textId="77777777" w:rsidR="00617096" w:rsidRPr="00AB4A68" w:rsidRDefault="00F43F9B">
      <w:pPr>
        <w:spacing w:line="240" w:lineRule="auto"/>
        <w:ind w:firstLineChars="200" w:firstLine="640"/>
        <w:rPr>
          <w:rFonts w:ascii="仿宋_GB2312" w:eastAsia="仿宋_GB2312" w:hAnsi="仿宋_GB2312" w:cs="仿宋_GB2312"/>
          <w:sz w:val="32"/>
          <w:szCs w:val="32"/>
          <w:lang w:bidi="ar"/>
        </w:rPr>
      </w:pPr>
      <w:r w:rsidRPr="00AB4A68">
        <w:rPr>
          <w:rFonts w:ascii="仿宋_GB2312" w:eastAsia="仿宋_GB2312" w:hAnsi="仿宋_GB2312" w:cs="仿宋_GB2312" w:hint="eastAsia"/>
          <w:sz w:val="32"/>
          <w:szCs w:val="32"/>
          <w:lang w:bidi="ar"/>
        </w:rPr>
        <w:t>（</w:t>
      </w:r>
      <w:r w:rsidRPr="00AB4A68">
        <w:rPr>
          <w:rFonts w:ascii="仿宋_GB2312" w:eastAsia="仿宋_GB2312" w:hAnsi="仿宋_GB2312" w:cs="仿宋_GB2312" w:hint="eastAsia"/>
          <w:sz w:val="32"/>
          <w:szCs w:val="32"/>
          <w:lang w:bidi="ar"/>
        </w:rPr>
        <w:t>3</w:t>
      </w:r>
      <w:r w:rsidRPr="00AB4A68">
        <w:rPr>
          <w:rFonts w:ascii="仿宋_GB2312" w:eastAsia="仿宋_GB2312" w:hAnsi="仿宋_GB2312" w:cs="仿宋_GB2312" w:hint="eastAsia"/>
          <w:sz w:val="32"/>
          <w:szCs w:val="32"/>
          <w:lang w:bidi="ar"/>
        </w:rPr>
        <w:t>）</w:t>
      </w:r>
      <w:r w:rsidRPr="00AB4A68">
        <w:rPr>
          <w:rFonts w:ascii="仿宋_GB2312" w:eastAsia="仿宋_GB2312" w:hAnsi="仿宋_GB2312" w:cs="仿宋_GB2312" w:hint="eastAsia"/>
          <w:sz w:val="32"/>
          <w:szCs w:val="32"/>
          <w:lang w:bidi="ar"/>
        </w:rPr>
        <w:t>各部件木材质量</w:t>
      </w:r>
      <w:r w:rsidRPr="00AB4A68">
        <w:rPr>
          <w:rFonts w:ascii="仿宋_GB2312" w:eastAsia="仿宋_GB2312" w:hAnsi="仿宋_GB2312" w:cs="仿宋_GB2312" w:hint="eastAsia"/>
          <w:sz w:val="32"/>
          <w:szCs w:val="32"/>
          <w:lang w:bidi="ar"/>
        </w:rPr>
        <w:t>要求</w:t>
      </w:r>
      <w:r w:rsidRPr="00AB4A68">
        <w:rPr>
          <w:rFonts w:ascii="仿宋_GB2312" w:eastAsia="仿宋_GB2312" w:hAnsi="仿宋_GB2312" w:cs="仿宋_GB2312" w:hint="eastAsia"/>
          <w:sz w:val="32"/>
          <w:szCs w:val="32"/>
          <w:lang w:bidi="ar"/>
        </w:rPr>
        <w:t>包括：腐朽、树节、</w:t>
      </w:r>
      <w:r w:rsidRPr="00AB4A68">
        <w:rPr>
          <w:rFonts w:ascii="仿宋_GB2312" w:eastAsia="仿宋_GB2312" w:hAnsi="仿宋_GB2312" w:cs="仿宋_GB2312" w:hint="eastAsia"/>
          <w:sz w:val="32"/>
          <w:szCs w:val="32"/>
          <w:lang w:bidi="ar"/>
        </w:rPr>
        <w:t>虫眼、孔</w:t>
      </w:r>
      <w:r w:rsidRPr="00AB4A68">
        <w:rPr>
          <w:rFonts w:ascii="仿宋_GB2312" w:eastAsia="仿宋_GB2312" w:hAnsi="仿宋_GB2312" w:cs="仿宋_GB2312" w:hint="eastAsia"/>
          <w:sz w:val="32"/>
          <w:szCs w:val="32"/>
          <w:lang w:bidi="ar"/>
        </w:rPr>
        <w:t>洞、</w:t>
      </w:r>
      <w:r w:rsidRPr="00AB4A68">
        <w:rPr>
          <w:rFonts w:ascii="仿宋_GB2312" w:eastAsia="仿宋_GB2312" w:hAnsi="仿宋_GB2312" w:cs="仿宋_GB2312" w:hint="eastAsia"/>
          <w:sz w:val="32"/>
          <w:szCs w:val="32"/>
          <w:lang w:bidi="ar"/>
        </w:rPr>
        <w:t>平整度、裂纹、树皮、缺棱几方面。</w:t>
      </w:r>
    </w:p>
    <w:p w14:paraId="4A318E3D" w14:textId="77777777" w:rsidR="00617096" w:rsidRPr="00AB4A68" w:rsidRDefault="00F43F9B">
      <w:pPr>
        <w:spacing w:line="240" w:lineRule="auto"/>
        <w:ind w:firstLineChars="200" w:firstLine="643"/>
        <w:rPr>
          <w:rFonts w:ascii="仿宋_GB2312" w:eastAsia="仿宋_GB2312" w:hAnsi="仿宋_GB2312" w:cs="仿宋_GB2312"/>
          <w:sz w:val="32"/>
          <w:szCs w:val="32"/>
        </w:rPr>
      </w:pPr>
      <w:r w:rsidRPr="00AB4A68">
        <w:rPr>
          <w:rFonts w:ascii="楷体" w:eastAsia="楷体" w:hAnsi="楷体" w:cs="楷体" w:hint="eastAsia"/>
          <w:b/>
          <w:bCs/>
          <w:sz w:val="32"/>
          <w:szCs w:val="32"/>
        </w:rPr>
        <w:lastRenderedPageBreak/>
        <w:t>（四）加工要求。</w:t>
      </w:r>
      <w:r w:rsidRPr="00AB4A68">
        <w:rPr>
          <w:rFonts w:ascii="仿宋_GB2312" w:eastAsia="仿宋_GB2312" w:hAnsi="仿宋_GB2312" w:cs="仿宋_GB2312"/>
          <w:sz w:val="32"/>
          <w:szCs w:val="32"/>
        </w:rPr>
        <w:t>对钉接效果、布钉、外观质量和性能要求等进行详细规定。</w:t>
      </w:r>
      <w:r w:rsidRPr="00AB4A68">
        <w:rPr>
          <w:rFonts w:ascii="仿宋_GB2312" w:eastAsia="仿宋_GB2312" w:hAnsi="仿宋_GB2312" w:cs="仿宋_GB2312" w:hint="eastAsia"/>
          <w:sz w:val="32"/>
          <w:szCs w:val="32"/>
        </w:rPr>
        <w:t>其中性能要求需要满足</w:t>
      </w:r>
      <w:r w:rsidRPr="00AB4A68">
        <w:rPr>
          <w:rFonts w:ascii="仿宋_GB2312" w:eastAsia="仿宋_GB2312" w:hAnsi="仿宋_GB2312" w:cs="仿宋_GB2312"/>
          <w:sz w:val="32"/>
          <w:szCs w:val="32"/>
        </w:rPr>
        <w:t xml:space="preserve">GB/T </w:t>
      </w:r>
      <w:r w:rsidRPr="00AB4A68">
        <w:rPr>
          <w:rFonts w:ascii="仿宋_GB2312" w:eastAsia="仿宋_GB2312" w:hAnsi="仿宋_GB2312" w:cs="仿宋_GB2312" w:hint="eastAsia"/>
          <w:sz w:val="32"/>
          <w:szCs w:val="32"/>
        </w:rPr>
        <w:t>4995</w:t>
      </w:r>
      <w:r w:rsidRPr="00AB4A68">
        <w:rPr>
          <w:rFonts w:ascii="仿宋_GB2312" w:eastAsia="仿宋_GB2312" w:hAnsi="仿宋_GB2312" w:cs="仿宋_GB2312" w:hint="eastAsia"/>
          <w:sz w:val="32"/>
          <w:szCs w:val="32"/>
        </w:rPr>
        <w:t>中规定的抗弯试验、</w:t>
      </w:r>
      <w:proofErr w:type="gramStart"/>
      <w:r w:rsidRPr="00AB4A68">
        <w:rPr>
          <w:rFonts w:ascii="仿宋_GB2312" w:eastAsia="仿宋_GB2312" w:hAnsi="仿宋_GB2312" w:cs="仿宋_GB2312" w:hint="eastAsia"/>
          <w:sz w:val="32"/>
          <w:szCs w:val="32"/>
        </w:rPr>
        <w:t>叉举试验</w:t>
      </w:r>
      <w:proofErr w:type="gramEnd"/>
      <w:r w:rsidRPr="00AB4A68">
        <w:rPr>
          <w:rFonts w:ascii="仿宋_GB2312" w:eastAsia="仿宋_GB2312" w:hAnsi="仿宋_GB2312" w:cs="仿宋_GB2312" w:hint="eastAsia"/>
          <w:sz w:val="32"/>
          <w:szCs w:val="32"/>
        </w:rPr>
        <w:t>、</w:t>
      </w:r>
      <w:proofErr w:type="gramStart"/>
      <w:r w:rsidRPr="00AB4A68">
        <w:rPr>
          <w:rFonts w:ascii="仿宋_GB2312" w:eastAsia="仿宋_GB2312" w:hAnsi="仿宋_GB2312" w:cs="仿宋_GB2312" w:hint="eastAsia"/>
          <w:sz w:val="32"/>
          <w:szCs w:val="32"/>
        </w:rPr>
        <w:t>垫块或</w:t>
      </w:r>
      <w:proofErr w:type="gramEnd"/>
      <w:r w:rsidRPr="00AB4A68">
        <w:rPr>
          <w:rFonts w:ascii="仿宋_GB2312" w:eastAsia="仿宋_GB2312" w:hAnsi="仿宋_GB2312" w:cs="仿宋_GB2312" w:hint="eastAsia"/>
          <w:sz w:val="32"/>
          <w:szCs w:val="32"/>
        </w:rPr>
        <w:t>纵梁抗压试验、堆码试验、底铺板抗弯试验、角跌落试验等各项性能要求。</w:t>
      </w:r>
    </w:p>
    <w:p w14:paraId="6A2A85B0" w14:textId="32102CC0" w:rsidR="00617096" w:rsidRDefault="00F43F9B">
      <w:pPr>
        <w:spacing w:line="240" w:lineRule="auto"/>
        <w:ind w:firstLineChars="200" w:firstLine="643"/>
        <w:rPr>
          <w:rFonts w:ascii="楷体" w:eastAsia="楷体" w:hAnsi="楷体" w:cs="楷体"/>
          <w:bCs/>
          <w:sz w:val="32"/>
          <w:szCs w:val="32"/>
        </w:rPr>
      </w:pPr>
      <w:r w:rsidRPr="00AB4A68">
        <w:rPr>
          <w:rFonts w:ascii="楷体" w:eastAsia="楷体" w:hAnsi="楷体" w:cs="楷体" w:hint="eastAsia"/>
          <w:b/>
          <w:bCs/>
          <w:sz w:val="32"/>
          <w:szCs w:val="32"/>
        </w:rPr>
        <w:t>（五）试验方法。</w:t>
      </w:r>
      <w:r w:rsidRPr="00AB4A68">
        <w:rPr>
          <w:rFonts w:ascii="仿宋_GB2312" w:eastAsia="仿宋_GB2312" w:hAnsi="仿宋_GB2312" w:cs="仿宋_GB2312"/>
          <w:sz w:val="32"/>
          <w:szCs w:val="32"/>
        </w:rPr>
        <w:t>对托盘钉、含水率、外观检查、性能要求检查等进行规定。</w:t>
      </w:r>
    </w:p>
    <w:p w14:paraId="7C578E5F" w14:textId="77777777" w:rsidR="00617096" w:rsidRDefault="00F43F9B">
      <w:pPr>
        <w:spacing w:line="240" w:lineRule="auto"/>
        <w:ind w:firstLineChars="200" w:firstLine="640"/>
        <w:rPr>
          <w:rFonts w:ascii="仿宋_GB2312" w:eastAsia="仿宋_GB2312" w:hAnsi="仿宋_GB2312" w:cs="仿宋_GB2312"/>
          <w:sz w:val="32"/>
          <w:szCs w:val="32"/>
        </w:rPr>
      </w:pPr>
      <w:r>
        <w:rPr>
          <w:rFonts w:ascii="楷体" w:eastAsia="楷体" w:hAnsi="楷体" w:cs="楷体" w:hint="eastAsia"/>
          <w:bCs/>
          <w:sz w:val="32"/>
          <w:szCs w:val="32"/>
        </w:rPr>
        <w:t>（六）</w:t>
      </w:r>
      <w:r>
        <w:rPr>
          <w:rFonts w:ascii="楷体" w:eastAsia="楷体" w:hAnsi="楷体" w:cs="楷体" w:hint="eastAsia"/>
          <w:b/>
          <w:bCs/>
          <w:sz w:val="32"/>
          <w:szCs w:val="32"/>
        </w:rPr>
        <w:t>质量控制。</w:t>
      </w:r>
      <w:r>
        <w:rPr>
          <w:rFonts w:ascii="仿宋_GB2312" w:eastAsia="仿宋_GB2312" w:hAnsi="仿宋_GB2312" w:cs="仿宋_GB2312" w:hint="eastAsia"/>
          <w:sz w:val="32"/>
          <w:szCs w:val="32"/>
        </w:rPr>
        <w:t>将托盘质量检验分为出厂检验和型式检验，并明确检验项目。检验结果有缺陷时，根据缺陷程度分为严重、重度和轻度三种。同时给出了抽样方案和检验结果的判定依据。</w:t>
      </w:r>
    </w:p>
    <w:p w14:paraId="45FDBFC2" w14:textId="77777777" w:rsidR="00617096" w:rsidRDefault="00F43F9B">
      <w:pPr>
        <w:pStyle w:val="ad"/>
        <w:tabs>
          <w:tab w:val="center" w:pos="4201"/>
          <w:tab w:val="right" w:leader="dot" w:pos="9298"/>
        </w:tabs>
        <w:spacing w:line="240" w:lineRule="auto"/>
        <w:ind w:firstLine="640"/>
        <w:rPr>
          <w:rFonts w:ascii="黑体" w:eastAsia="黑体" w:hAnsi="黑体" w:cs="黑体"/>
          <w:sz w:val="32"/>
          <w:szCs w:val="32"/>
        </w:rPr>
      </w:pPr>
      <w:r>
        <w:rPr>
          <w:rFonts w:ascii="黑体" w:eastAsia="黑体" w:hAnsi="黑体" w:cs="黑体" w:hint="eastAsia"/>
          <w:sz w:val="32"/>
          <w:szCs w:val="32"/>
        </w:rPr>
        <w:t>七、国家标准作为强制性国家标准或推荐性国家标准的建议</w:t>
      </w:r>
    </w:p>
    <w:p w14:paraId="32B24906" w14:textId="77777777" w:rsidR="00617096" w:rsidRDefault="00F43F9B">
      <w:pPr>
        <w:spacing w:line="24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本标准作为推荐性行业标准，循环共用托盘生产及租赁企业自愿执行。</w:t>
      </w:r>
    </w:p>
    <w:p w14:paraId="7CA832F5" w14:textId="77777777" w:rsidR="00617096" w:rsidRDefault="00F43F9B">
      <w:pPr>
        <w:spacing w:line="240" w:lineRule="auto"/>
        <w:ind w:firstLineChars="200" w:firstLine="640"/>
        <w:rPr>
          <w:rFonts w:ascii="黑体" w:eastAsia="黑体" w:hAnsi="黑体" w:cs="黑体"/>
          <w:sz w:val="32"/>
          <w:szCs w:val="32"/>
        </w:rPr>
      </w:pPr>
      <w:r>
        <w:rPr>
          <w:rFonts w:ascii="黑体" w:eastAsia="黑体" w:hAnsi="黑体" w:cs="黑体" w:hint="eastAsia"/>
          <w:sz w:val="32"/>
          <w:szCs w:val="32"/>
        </w:rPr>
        <w:t>八、废止现行有关标准的建议</w:t>
      </w:r>
    </w:p>
    <w:p w14:paraId="5BB7E1A8" w14:textId="77777777" w:rsidR="00617096" w:rsidRDefault="00F43F9B">
      <w:pPr>
        <w:spacing w:line="24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无需废止现行有关标准，本文件为首次编写及发布。</w:t>
      </w:r>
    </w:p>
    <w:p w14:paraId="3858BF3A" w14:textId="77777777" w:rsidR="00617096" w:rsidRDefault="00F43F9B">
      <w:pPr>
        <w:spacing w:line="240" w:lineRule="auto"/>
        <w:ind w:firstLineChars="200" w:firstLine="640"/>
        <w:rPr>
          <w:rFonts w:ascii="黑体" w:eastAsia="黑体" w:hAnsi="黑体" w:cs="黑体"/>
          <w:sz w:val="32"/>
          <w:szCs w:val="32"/>
        </w:rPr>
      </w:pPr>
      <w:r>
        <w:rPr>
          <w:rFonts w:ascii="黑体" w:eastAsia="黑体" w:hAnsi="黑体" w:cs="黑体" w:hint="eastAsia"/>
          <w:sz w:val="32"/>
          <w:szCs w:val="32"/>
        </w:rPr>
        <w:t>九、重大意见分歧的处理经过和依据</w:t>
      </w:r>
    </w:p>
    <w:p w14:paraId="3FACDBB4" w14:textId="77777777" w:rsidR="00617096" w:rsidRDefault="00F43F9B">
      <w:pPr>
        <w:spacing w:line="24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文件在起草过程中，尚未出现重大意见分歧。</w:t>
      </w:r>
    </w:p>
    <w:p w14:paraId="657554BE" w14:textId="77777777" w:rsidR="00617096" w:rsidRDefault="00F43F9B">
      <w:pPr>
        <w:spacing w:line="240" w:lineRule="auto"/>
        <w:ind w:firstLineChars="200" w:firstLine="640"/>
        <w:rPr>
          <w:rFonts w:ascii="黑体" w:eastAsia="黑体" w:hAnsi="黑体" w:cs="黑体"/>
          <w:sz w:val="32"/>
          <w:szCs w:val="32"/>
        </w:rPr>
      </w:pPr>
      <w:r>
        <w:rPr>
          <w:rFonts w:ascii="黑体" w:eastAsia="黑体" w:hAnsi="黑体" w:cs="黑体" w:hint="eastAsia"/>
          <w:sz w:val="32"/>
          <w:szCs w:val="32"/>
        </w:rPr>
        <w:t>十、采标情况</w:t>
      </w:r>
    </w:p>
    <w:p w14:paraId="6140DA62" w14:textId="77777777" w:rsidR="00617096" w:rsidRDefault="00F43F9B">
      <w:pPr>
        <w:spacing w:line="24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未采标国际标准。</w:t>
      </w:r>
    </w:p>
    <w:p w14:paraId="1006C7E2" w14:textId="77777777" w:rsidR="00617096" w:rsidRDefault="00F43F9B">
      <w:pPr>
        <w:spacing w:line="240" w:lineRule="auto"/>
        <w:ind w:firstLineChars="200" w:firstLine="640"/>
        <w:rPr>
          <w:rFonts w:ascii="黑体" w:eastAsia="黑体" w:hAnsi="黑体" w:cs="黑体"/>
          <w:sz w:val="32"/>
          <w:szCs w:val="32"/>
        </w:rPr>
      </w:pPr>
      <w:r>
        <w:rPr>
          <w:rFonts w:ascii="黑体" w:eastAsia="黑体" w:hAnsi="黑体" w:cs="黑体" w:hint="eastAsia"/>
          <w:sz w:val="32"/>
          <w:szCs w:val="32"/>
        </w:rPr>
        <w:t>十一、</w:t>
      </w:r>
      <w:r>
        <w:rPr>
          <w:rFonts w:ascii="黑体" w:eastAsia="黑体" w:hAnsi="黑体" w:cs="黑体" w:hint="eastAsia"/>
          <w:sz w:val="32"/>
          <w:szCs w:val="32"/>
        </w:rPr>
        <w:t xml:space="preserve"> </w:t>
      </w:r>
      <w:r>
        <w:rPr>
          <w:rFonts w:ascii="黑体" w:eastAsia="黑体" w:hAnsi="黑体" w:cs="黑体" w:hint="eastAsia"/>
          <w:sz w:val="32"/>
          <w:szCs w:val="32"/>
        </w:rPr>
        <w:t>与现行法律、法规和强制性国家标准的关系</w:t>
      </w:r>
    </w:p>
    <w:p w14:paraId="6F2EDA41" w14:textId="77777777" w:rsidR="00617096" w:rsidRDefault="00F43F9B">
      <w:pPr>
        <w:spacing w:line="24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本文件符合</w:t>
      </w:r>
      <w:r>
        <w:rPr>
          <w:rFonts w:ascii="仿宋_GB2312" w:eastAsia="仿宋_GB2312" w:hAnsi="仿宋_GB2312" w:cs="仿宋_GB2312" w:hint="eastAsia"/>
          <w:sz w:val="32"/>
          <w:szCs w:val="32"/>
        </w:rPr>
        <w:t>现行的法律、法规，同时，对现有的国家标准和行业标准进行了检索和整理，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以关键词“循环共用”、“托盘质量”等搜索相关标准，未查询到相关强制性国家标准</w:t>
      </w:r>
    </w:p>
    <w:p w14:paraId="7377CF72" w14:textId="77777777" w:rsidR="00617096" w:rsidRDefault="00F43F9B">
      <w:pPr>
        <w:spacing w:line="240" w:lineRule="auto"/>
        <w:ind w:firstLineChars="200" w:firstLine="640"/>
        <w:rPr>
          <w:rFonts w:ascii="黑体" w:eastAsia="黑体" w:hAnsi="黑体" w:cs="黑体"/>
          <w:sz w:val="32"/>
          <w:szCs w:val="32"/>
        </w:rPr>
      </w:pPr>
      <w:r>
        <w:rPr>
          <w:rFonts w:ascii="黑体" w:eastAsia="黑体" w:hAnsi="黑体" w:cs="黑体" w:hint="eastAsia"/>
          <w:sz w:val="32"/>
          <w:szCs w:val="32"/>
        </w:rPr>
        <w:t>十二、宣贯及实施建议</w:t>
      </w:r>
      <w:r>
        <w:rPr>
          <w:rFonts w:ascii="黑体" w:eastAsia="黑体" w:hAnsi="黑体" w:cs="黑体" w:hint="eastAsia"/>
          <w:sz w:val="32"/>
          <w:szCs w:val="32"/>
        </w:rPr>
        <w:t xml:space="preserve"> </w:t>
      </w:r>
    </w:p>
    <w:p w14:paraId="565E2E8A" w14:textId="77777777" w:rsidR="00617096" w:rsidRDefault="00F43F9B">
      <w:pPr>
        <w:spacing w:line="24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循环共用系统托盘质量要求》行业标准为首次制定，并且与现行相关标准协调统一。适用于循环共用托盘行业，建议相关行业组织及托盘生产、租赁企业，在本标准颁布后，积极开展对本文件的宣传，并在托盘生产和质量把</w:t>
      </w:r>
      <w:proofErr w:type="gramStart"/>
      <w:r>
        <w:rPr>
          <w:rFonts w:ascii="仿宋_GB2312" w:eastAsia="仿宋_GB2312" w:hAnsi="仿宋_GB2312" w:cs="仿宋_GB2312" w:hint="eastAsia"/>
          <w:sz w:val="32"/>
          <w:szCs w:val="32"/>
        </w:rPr>
        <w:t>控过程</w:t>
      </w:r>
      <w:proofErr w:type="gramEnd"/>
      <w:r>
        <w:rPr>
          <w:rFonts w:ascii="仿宋_GB2312" w:eastAsia="仿宋_GB2312" w:hAnsi="仿宋_GB2312" w:cs="仿宋_GB2312" w:hint="eastAsia"/>
          <w:sz w:val="32"/>
          <w:szCs w:val="32"/>
        </w:rPr>
        <w:t>中加以实施、运用本标准规定的技术指标，以提高循环共用系统的托盘质量和标准化程度。</w:t>
      </w:r>
    </w:p>
    <w:p w14:paraId="762C5426" w14:textId="77777777" w:rsidR="00617096" w:rsidRDefault="00F43F9B">
      <w:pPr>
        <w:spacing w:line="240" w:lineRule="auto"/>
        <w:ind w:firstLineChars="200" w:firstLine="640"/>
        <w:rPr>
          <w:rFonts w:ascii="黑体" w:eastAsia="黑体" w:hAnsi="黑体" w:cs="黑体"/>
          <w:sz w:val="32"/>
          <w:szCs w:val="32"/>
        </w:rPr>
      </w:pPr>
      <w:r>
        <w:rPr>
          <w:rFonts w:ascii="黑体" w:eastAsia="黑体" w:hAnsi="黑体" w:cs="黑体" w:hint="eastAsia"/>
          <w:sz w:val="32"/>
          <w:szCs w:val="32"/>
        </w:rPr>
        <w:t>十三、其他应予说明的事项</w:t>
      </w:r>
      <w:r>
        <w:rPr>
          <w:rFonts w:ascii="黑体" w:eastAsia="黑体" w:hAnsi="黑体" w:cs="黑体" w:hint="eastAsia"/>
          <w:sz w:val="32"/>
          <w:szCs w:val="32"/>
        </w:rPr>
        <w:t xml:space="preserve"> </w:t>
      </w:r>
    </w:p>
    <w:p w14:paraId="1DA524DA" w14:textId="77777777" w:rsidR="00617096" w:rsidRDefault="00F43F9B">
      <w:pPr>
        <w:pStyle w:val="ae"/>
        <w:spacing w:line="24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无。</w:t>
      </w:r>
    </w:p>
    <w:p w14:paraId="63837A29" w14:textId="77777777" w:rsidR="00617096" w:rsidRDefault="00617096">
      <w:pPr>
        <w:spacing w:line="240" w:lineRule="auto"/>
        <w:rPr>
          <w:rFonts w:ascii="仿宋_GB2312" w:eastAsia="仿宋_GB2312" w:hAnsi="仿宋_GB2312" w:cs="仿宋_GB2312"/>
          <w:sz w:val="32"/>
          <w:szCs w:val="32"/>
        </w:rPr>
      </w:pPr>
    </w:p>
    <w:sectPr w:rsidR="00617096">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355B7" w14:textId="77777777" w:rsidR="00F43F9B" w:rsidRDefault="00F43F9B">
      <w:pPr>
        <w:spacing w:after="0" w:line="240" w:lineRule="auto"/>
      </w:pPr>
      <w:r>
        <w:separator/>
      </w:r>
    </w:p>
  </w:endnote>
  <w:endnote w:type="continuationSeparator" w:id="0">
    <w:p w14:paraId="53F9B44C" w14:textId="77777777" w:rsidR="00F43F9B" w:rsidRDefault="00F43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7EEFE" w14:textId="77777777" w:rsidR="00617096" w:rsidRDefault="00F43F9B">
    <w:pPr>
      <w:pStyle w:val="a9"/>
    </w:pPr>
    <w:r>
      <w:pict w14:anchorId="1B2E7525">
        <v:shapetype id="_x0000_t202" coordsize="21600,21600" o:spt="202" path="m,l,21600r21600,l21600,xe">
          <v:stroke joinstyle="miter"/>
          <v:path gradientshapeok="t" o:connecttype="rect"/>
        </v:shapetype>
        <v:shape id="_x0000_s2049" type="#_x0000_t202" style="position:absolute;margin-left:0;margin-top:0;width:4.55pt;height:10.35pt;z-index:251659264;mso-wrap-style:none;mso-position-horizontal:center;mso-position-horizontal-relative:margin;mso-width-relative:page;mso-height-relative:page" filled="f" stroked="f">
          <v:textbox style="mso-fit-shape-to-text:t" inset="0,0,0,0">
            <w:txbxContent>
              <w:p w14:paraId="30507F40" w14:textId="77777777" w:rsidR="00617096" w:rsidRDefault="00F43F9B">
                <w:pPr>
                  <w:pStyle w:val="a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C1D22" w14:textId="77777777" w:rsidR="00F43F9B" w:rsidRDefault="00F43F9B">
      <w:pPr>
        <w:spacing w:after="0" w:line="240" w:lineRule="auto"/>
      </w:pPr>
      <w:r>
        <w:separator/>
      </w:r>
    </w:p>
  </w:footnote>
  <w:footnote w:type="continuationSeparator" w:id="0">
    <w:p w14:paraId="1A73A7CB" w14:textId="77777777" w:rsidR="00F43F9B" w:rsidRDefault="00F43F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color w:val="000000"/>
        <w:sz w:val="21"/>
        <w:szCs w:val="21"/>
      </w:rPr>
    </w:lvl>
    <w:lvl w:ilvl="1">
      <w:start w:val="1"/>
      <w:numFmt w:val="decimal"/>
      <w:pStyle w:val="a"/>
      <w:suff w:val="nothing"/>
      <w:lvlText w:val="%1.%2　"/>
      <w:lvlJc w:val="left"/>
      <w:pPr>
        <w:ind w:left="283"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0"/>
      <w:suff w:val="nothing"/>
      <w:lvlText w:val="%1.%2.%3　"/>
      <w:lvlJc w:val="left"/>
      <w:pPr>
        <w:ind w:left="141" w:firstLine="0"/>
      </w:pPr>
      <w:rPr>
        <w:rFonts w:ascii="黑体" w:eastAsia="黑体" w:hAnsi="Times New Roman" w:hint="eastAsia"/>
        <w:b w:val="0"/>
        <w:i w:val="0"/>
        <w:color w:val="00000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60B55DC2"/>
    <w:multiLevelType w:val="multilevel"/>
    <w:tmpl w:val="60B55DC2"/>
    <w:lvl w:ilvl="0">
      <w:start w:val="1"/>
      <w:numFmt w:val="upperLetter"/>
      <w:pStyle w:val="a1"/>
      <w:lvlText w:val="%1"/>
      <w:lvlJc w:val="left"/>
      <w:pPr>
        <w:tabs>
          <w:tab w:val="left" w:pos="0"/>
        </w:tabs>
        <w:ind w:left="0" w:hanging="425"/>
      </w:pPr>
      <w:rPr>
        <w:rFonts w:hint="eastAsia"/>
      </w:rPr>
    </w:lvl>
    <w:lvl w:ilvl="1">
      <w:start w:val="1"/>
      <w:numFmt w:val="decimal"/>
      <w:suff w:val="nothing"/>
      <w:lvlText w:val="表%1.%2　"/>
      <w:lvlJc w:val="left"/>
      <w:pPr>
        <w:ind w:left="567" w:hanging="567"/>
      </w:pPr>
      <w:rPr>
        <w:rFonts w:ascii="黑体" w:eastAsia="黑体" w:hAnsi="黑体"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4CAE"/>
    <w:rsid w:val="9FB5F0D7"/>
    <w:rsid w:val="9FFF86C5"/>
    <w:rsid w:val="BBEC15F2"/>
    <w:rsid w:val="D2FF72D3"/>
    <w:rsid w:val="DFAFAD1C"/>
    <w:rsid w:val="EF3D679D"/>
    <w:rsid w:val="EFC92096"/>
    <w:rsid w:val="F7FA803C"/>
    <w:rsid w:val="F94B6078"/>
    <w:rsid w:val="FBFF32C9"/>
    <w:rsid w:val="00006CFF"/>
    <w:rsid w:val="00023D40"/>
    <w:rsid w:val="000417A4"/>
    <w:rsid w:val="00053011"/>
    <w:rsid w:val="00095272"/>
    <w:rsid w:val="000A7A8C"/>
    <w:rsid w:val="000B7F33"/>
    <w:rsid w:val="000C162A"/>
    <w:rsid w:val="000D76F0"/>
    <w:rsid w:val="000E358C"/>
    <w:rsid w:val="00101615"/>
    <w:rsid w:val="00102A69"/>
    <w:rsid w:val="0010560F"/>
    <w:rsid w:val="00130BF4"/>
    <w:rsid w:val="001453A9"/>
    <w:rsid w:val="00146AD0"/>
    <w:rsid w:val="00167768"/>
    <w:rsid w:val="001775C9"/>
    <w:rsid w:val="00182064"/>
    <w:rsid w:val="00192171"/>
    <w:rsid w:val="00193938"/>
    <w:rsid w:val="001A2484"/>
    <w:rsid w:val="001B7B78"/>
    <w:rsid w:val="001C5F78"/>
    <w:rsid w:val="001D1494"/>
    <w:rsid w:val="001E1129"/>
    <w:rsid w:val="001F7E09"/>
    <w:rsid w:val="00211BC3"/>
    <w:rsid w:val="002173D5"/>
    <w:rsid w:val="00234B7A"/>
    <w:rsid w:val="0024343A"/>
    <w:rsid w:val="00253B31"/>
    <w:rsid w:val="00280523"/>
    <w:rsid w:val="00281DC9"/>
    <w:rsid w:val="00284A94"/>
    <w:rsid w:val="002945CC"/>
    <w:rsid w:val="002A70F0"/>
    <w:rsid w:val="002B2AF4"/>
    <w:rsid w:val="002C250E"/>
    <w:rsid w:val="002C2516"/>
    <w:rsid w:val="002C419F"/>
    <w:rsid w:val="002D6CC1"/>
    <w:rsid w:val="002E1D89"/>
    <w:rsid w:val="002E567C"/>
    <w:rsid w:val="002E77B8"/>
    <w:rsid w:val="002F6404"/>
    <w:rsid w:val="0031321F"/>
    <w:rsid w:val="0031640D"/>
    <w:rsid w:val="0032647F"/>
    <w:rsid w:val="0035264A"/>
    <w:rsid w:val="003545A0"/>
    <w:rsid w:val="00382EAC"/>
    <w:rsid w:val="00383D3F"/>
    <w:rsid w:val="00390132"/>
    <w:rsid w:val="003B516D"/>
    <w:rsid w:val="003C3D40"/>
    <w:rsid w:val="003C6FBD"/>
    <w:rsid w:val="003D1D27"/>
    <w:rsid w:val="003E12A8"/>
    <w:rsid w:val="003E647D"/>
    <w:rsid w:val="00400FA3"/>
    <w:rsid w:val="0040331E"/>
    <w:rsid w:val="00411FD5"/>
    <w:rsid w:val="004126AD"/>
    <w:rsid w:val="00417D57"/>
    <w:rsid w:val="004405C8"/>
    <w:rsid w:val="00452452"/>
    <w:rsid w:val="00462083"/>
    <w:rsid w:val="004673C7"/>
    <w:rsid w:val="00471A59"/>
    <w:rsid w:val="00473DE9"/>
    <w:rsid w:val="00480900"/>
    <w:rsid w:val="0049194F"/>
    <w:rsid w:val="004A1FBB"/>
    <w:rsid w:val="004A4DA0"/>
    <w:rsid w:val="004A5EF9"/>
    <w:rsid w:val="004B091A"/>
    <w:rsid w:val="004C0413"/>
    <w:rsid w:val="004C1D37"/>
    <w:rsid w:val="004C6FA3"/>
    <w:rsid w:val="004D3979"/>
    <w:rsid w:val="004F0C49"/>
    <w:rsid w:val="004F5A83"/>
    <w:rsid w:val="005034D9"/>
    <w:rsid w:val="00504CAE"/>
    <w:rsid w:val="0051245F"/>
    <w:rsid w:val="005162C2"/>
    <w:rsid w:val="0053146A"/>
    <w:rsid w:val="005377F6"/>
    <w:rsid w:val="005575FF"/>
    <w:rsid w:val="005709B7"/>
    <w:rsid w:val="00577EB2"/>
    <w:rsid w:val="005A4DA5"/>
    <w:rsid w:val="005C47EB"/>
    <w:rsid w:val="005D0524"/>
    <w:rsid w:val="005E007F"/>
    <w:rsid w:val="005F28A0"/>
    <w:rsid w:val="00611724"/>
    <w:rsid w:val="00616F30"/>
    <w:rsid w:val="00617096"/>
    <w:rsid w:val="00652F53"/>
    <w:rsid w:val="006542D6"/>
    <w:rsid w:val="00665625"/>
    <w:rsid w:val="0068147C"/>
    <w:rsid w:val="006A10D8"/>
    <w:rsid w:val="006A5D32"/>
    <w:rsid w:val="006C147C"/>
    <w:rsid w:val="006D65BC"/>
    <w:rsid w:val="00702017"/>
    <w:rsid w:val="00713365"/>
    <w:rsid w:val="00762152"/>
    <w:rsid w:val="00780910"/>
    <w:rsid w:val="00792DF3"/>
    <w:rsid w:val="007A034A"/>
    <w:rsid w:val="007B0125"/>
    <w:rsid w:val="007B7520"/>
    <w:rsid w:val="007D5CDA"/>
    <w:rsid w:val="007F11FD"/>
    <w:rsid w:val="00804C66"/>
    <w:rsid w:val="00815130"/>
    <w:rsid w:val="0082480F"/>
    <w:rsid w:val="00825791"/>
    <w:rsid w:val="0083255C"/>
    <w:rsid w:val="00844218"/>
    <w:rsid w:val="0085092A"/>
    <w:rsid w:val="0086770C"/>
    <w:rsid w:val="00873B31"/>
    <w:rsid w:val="00891322"/>
    <w:rsid w:val="008B0BDD"/>
    <w:rsid w:val="008E3435"/>
    <w:rsid w:val="008E48AB"/>
    <w:rsid w:val="008F030C"/>
    <w:rsid w:val="00903612"/>
    <w:rsid w:val="00920189"/>
    <w:rsid w:val="00926861"/>
    <w:rsid w:val="009558C6"/>
    <w:rsid w:val="00956A1C"/>
    <w:rsid w:val="00991D3D"/>
    <w:rsid w:val="009A4C32"/>
    <w:rsid w:val="009D058C"/>
    <w:rsid w:val="009E40C0"/>
    <w:rsid w:val="009F6327"/>
    <w:rsid w:val="00A01E6B"/>
    <w:rsid w:val="00A46005"/>
    <w:rsid w:val="00A8074D"/>
    <w:rsid w:val="00A95BDB"/>
    <w:rsid w:val="00AB4A68"/>
    <w:rsid w:val="00AC24E1"/>
    <w:rsid w:val="00AC4445"/>
    <w:rsid w:val="00AC547E"/>
    <w:rsid w:val="00AE7064"/>
    <w:rsid w:val="00B029FD"/>
    <w:rsid w:val="00B149DB"/>
    <w:rsid w:val="00B23FED"/>
    <w:rsid w:val="00B242BD"/>
    <w:rsid w:val="00B42A63"/>
    <w:rsid w:val="00B46E5B"/>
    <w:rsid w:val="00B4715A"/>
    <w:rsid w:val="00B971E5"/>
    <w:rsid w:val="00BA2A26"/>
    <w:rsid w:val="00BA4A24"/>
    <w:rsid w:val="00BE0BDE"/>
    <w:rsid w:val="00BE0D79"/>
    <w:rsid w:val="00BE325B"/>
    <w:rsid w:val="00C03B51"/>
    <w:rsid w:val="00C066C0"/>
    <w:rsid w:val="00C50F1A"/>
    <w:rsid w:val="00C539FC"/>
    <w:rsid w:val="00C5480F"/>
    <w:rsid w:val="00C55DF1"/>
    <w:rsid w:val="00C60636"/>
    <w:rsid w:val="00C62B19"/>
    <w:rsid w:val="00C63EE0"/>
    <w:rsid w:val="00C671B7"/>
    <w:rsid w:val="00C71FA2"/>
    <w:rsid w:val="00C736CA"/>
    <w:rsid w:val="00CA2942"/>
    <w:rsid w:val="00CA5A45"/>
    <w:rsid w:val="00CB75E9"/>
    <w:rsid w:val="00CC08E4"/>
    <w:rsid w:val="00CC0DA9"/>
    <w:rsid w:val="00CC76BD"/>
    <w:rsid w:val="00CD2A91"/>
    <w:rsid w:val="00CF2308"/>
    <w:rsid w:val="00CF5B93"/>
    <w:rsid w:val="00D030BF"/>
    <w:rsid w:val="00D07C8D"/>
    <w:rsid w:val="00D228DD"/>
    <w:rsid w:val="00D2533D"/>
    <w:rsid w:val="00D4470C"/>
    <w:rsid w:val="00D55C47"/>
    <w:rsid w:val="00D62CFE"/>
    <w:rsid w:val="00D67EF8"/>
    <w:rsid w:val="00D811C5"/>
    <w:rsid w:val="00D831B5"/>
    <w:rsid w:val="00D93496"/>
    <w:rsid w:val="00DA7A79"/>
    <w:rsid w:val="00DC2DFA"/>
    <w:rsid w:val="00DD681D"/>
    <w:rsid w:val="00DE7284"/>
    <w:rsid w:val="00DE7E59"/>
    <w:rsid w:val="00DF23A8"/>
    <w:rsid w:val="00E02B0E"/>
    <w:rsid w:val="00E12AA2"/>
    <w:rsid w:val="00E402EF"/>
    <w:rsid w:val="00E41840"/>
    <w:rsid w:val="00E50729"/>
    <w:rsid w:val="00E53222"/>
    <w:rsid w:val="00E56760"/>
    <w:rsid w:val="00E709BE"/>
    <w:rsid w:val="00EA5E9C"/>
    <w:rsid w:val="00EA6B76"/>
    <w:rsid w:val="00EC280A"/>
    <w:rsid w:val="00EC2F75"/>
    <w:rsid w:val="00EC5C0D"/>
    <w:rsid w:val="00EE2DCB"/>
    <w:rsid w:val="00F07480"/>
    <w:rsid w:val="00F131A6"/>
    <w:rsid w:val="00F43F9B"/>
    <w:rsid w:val="00F444E2"/>
    <w:rsid w:val="00F473B5"/>
    <w:rsid w:val="00FA6A04"/>
    <w:rsid w:val="00FB1480"/>
    <w:rsid w:val="00FE5A41"/>
    <w:rsid w:val="043D2F07"/>
    <w:rsid w:val="15CF42E9"/>
    <w:rsid w:val="1A6C569D"/>
    <w:rsid w:val="20B064E4"/>
    <w:rsid w:val="2A7F10BF"/>
    <w:rsid w:val="2BB54263"/>
    <w:rsid w:val="308F19C7"/>
    <w:rsid w:val="377D4225"/>
    <w:rsid w:val="3E305FDE"/>
    <w:rsid w:val="3E980CF9"/>
    <w:rsid w:val="46FE1F42"/>
    <w:rsid w:val="4CB7BA17"/>
    <w:rsid w:val="4EBC1CBE"/>
    <w:rsid w:val="55261EAE"/>
    <w:rsid w:val="569F65B1"/>
    <w:rsid w:val="5DF26335"/>
    <w:rsid w:val="5FFDB698"/>
    <w:rsid w:val="71CB24FF"/>
    <w:rsid w:val="721342E2"/>
    <w:rsid w:val="75EF9A07"/>
    <w:rsid w:val="7737022C"/>
    <w:rsid w:val="777B252F"/>
    <w:rsid w:val="7B7F008A"/>
    <w:rsid w:val="7CA8BADD"/>
    <w:rsid w:val="7D7B50B9"/>
    <w:rsid w:val="7DFF0A8D"/>
    <w:rsid w:val="7FE7EEB3"/>
    <w:rsid w:val="7FFFB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A8B50F"/>
  <w15:docId w15:val="{CC10C6B4-D5C0-45A1-8E3B-56781D0D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spacing w:after="160" w:line="259" w:lineRule="auto"/>
      <w:jc w:val="both"/>
    </w:pPr>
    <w:rPr>
      <w:kern w:val="2"/>
      <w:sz w:val="21"/>
      <w:szCs w:val="22"/>
    </w:rPr>
  </w:style>
  <w:style w:type="paragraph" w:styleId="1">
    <w:name w:val="heading 1"/>
    <w:basedOn w:val="a2"/>
    <w:next w:val="a2"/>
    <w:link w:val="10"/>
    <w:uiPriority w:val="9"/>
    <w:qFormat/>
    <w:pPr>
      <w:spacing w:before="100" w:beforeAutospacing="1" w:after="100" w:afterAutospacing="1"/>
      <w:jc w:val="left"/>
      <w:outlineLvl w:val="0"/>
    </w:pPr>
    <w:rPr>
      <w:rFonts w:ascii="宋体" w:hAnsi="宋体" w:hint="eastAsia"/>
      <w:b/>
      <w:kern w:val="44"/>
      <w:sz w:val="48"/>
      <w:szCs w:val="4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annotation text"/>
    <w:basedOn w:val="a2"/>
    <w:uiPriority w:val="99"/>
    <w:semiHidden/>
    <w:unhideWhenUsed/>
    <w:pPr>
      <w:jc w:val="left"/>
    </w:pPr>
  </w:style>
  <w:style w:type="paragraph" w:styleId="a7">
    <w:name w:val="Balloon Text"/>
    <w:basedOn w:val="a2"/>
    <w:link w:val="a8"/>
    <w:uiPriority w:val="99"/>
    <w:semiHidden/>
    <w:unhideWhenUsed/>
    <w:qFormat/>
    <w:rPr>
      <w:sz w:val="18"/>
      <w:szCs w:val="18"/>
    </w:rPr>
  </w:style>
  <w:style w:type="paragraph" w:styleId="a9">
    <w:name w:val="footer"/>
    <w:basedOn w:val="a2"/>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2"/>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3"/>
    <w:link w:val="1"/>
    <w:uiPriority w:val="9"/>
    <w:qFormat/>
    <w:rPr>
      <w:rFonts w:ascii="宋体" w:eastAsia="宋体" w:hAnsi="宋体" w:cs="Times New Roman"/>
      <w:b/>
      <w:kern w:val="44"/>
      <w:sz w:val="48"/>
      <w:szCs w:val="48"/>
    </w:rPr>
  </w:style>
  <w:style w:type="character" w:customStyle="1" w:styleId="aa">
    <w:name w:val="页脚 字符"/>
    <w:link w:val="a9"/>
    <w:uiPriority w:val="99"/>
    <w:qFormat/>
    <w:rPr>
      <w:sz w:val="18"/>
      <w:szCs w:val="18"/>
    </w:rPr>
  </w:style>
  <w:style w:type="character" w:customStyle="1" w:styleId="Char">
    <w:name w:val="段 Char"/>
    <w:link w:val="ad"/>
    <w:uiPriority w:val="99"/>
    <w:qFormat/>
    <w:rPr>
      <w:rFonts w:ascii="宋体" w:hAnsi="Times New Roman"/>
      <w:lang w:val="en-US" w:eastAsia="zh-CN"/>
    </w:rPr>
  </w:style>
  <w:style w:type="paragraph" w:customStyle="1" w:styleId="ad">
    <w:name w:val="段"/>
    <w:link w:val="Char"/>
    <w:uiPriority w:val="99"/>
    <w:qFormat/>
    <w:pPr>
      <w:autoSpaceDE w:val="0"/>
      <w:autoSpaceDN w:val="0"/>
      <w:spacing w:after="160" w:line="259" w:lineRule="auto"/>
      <w:ind w:firstLineChars="200" w:firstLine="200"/>
      <w:jc w:val="both"/>
    </w:pPr>
    <w:rPr>
      <w:rFonts w:ascii="宋体" w:eastAsiaTheme="minorEastAsia" w:cstheme="minorBidi"/>
      <w:kern w:val="2"/>
      <w:sz w:val="21"/>
      <w:szCs w:val="22"/>
    </w:rPr>
  </w:style>
  <w:style w:type="paragraph" w:customStyle="1" w:styleId="Style1">
    <w:name w:val="_Style 1"/>
    <w:basedOn w:val="a2"/>
    <w:uiPriority w:val="34"/>
    <w:qFormat/>
    <w:pPr>
      <w:ind w:firstLineChars="200" w:firstLine="420"/>
    </w:pPr>
  </w:style>
  <w:style w:type="paragraph" w:styleId="ae">
    <w:name w:val="List Paragraph"/>
    <w:basedOn w:val="a2"/>
    <w:uiPriority w:val="34"/>
    <w:qFormat/>
    <w:pPr>
      <w:ind w:firstLineChars="200" w:firstLine="420"/>
    </w:pPr>
  </w:style>
  <w:style w:type="paragraph" w:customStyle="1" w:styleId="Style2">
    <w:name w:val="_Style 2"/>
    <w:basedOn w:val="a2"/>
    <w:uiPriority w:val="34"/>
    <w:qFormat/>
    <w:pPr>
      <w:ind w:firstLineChars="200" w:firstLine="420"/>
    </w:pPr>
  </w:style>
  <w:style w:type="character" w:customStyle="1" w:styleId="11">
    <w:name w:val="页脚 字符1"/>
    <w:basedOn w:val="a3"/>
    <w:uiPriority w:val="99"/>
    <w:semiHidden/>
    <w:qFormat/>
    <w:rPr>
      <w:rFonts w:ascii="Times New Roman" w:eastAsia="宋体" w:hAnsi="Times New Roman" w:cs="Times New Roman"/>
      <w:sz w:val="18"/>
      <w:szCs w:val="18"/>
    </w:rPr>
  </w:style>
  <w:style w:type="paragraph" w:customStyle="1" w:styleId="a0">
    <w:name w:val="二级条标题"/>
    <w:basedOn w:val="a"/>
    <w:next w:val="ad"/>
    <w:qFormat/>
    <w:pPr>
      <w:numPr>
        <w:ilvl w:val="2"/>
      </w:numPr>
      <w:spacing w:before="50" w:after="50"/>
      <w:outlineLvl w:val="3"/>
    </w:pPr>
  </w:style>
  <w:style w:type="paragraph" w:customStyle="1" w:styleId="a">
    <w:name w:val="一级条标题"/>
    <w:next w:val="ad"/>
    <w:qFormat/>
    <w:pPr>
      <w:numPr>
        <w:ilvl w:val="1"/>
        <w:numId w:val="1"/>
      </w:numPr>
      <w:spacing w:beforeLines="50" w:afterLines="50" w:after="160" w:line="259" w:lineRule="auto"/>
      <w:outlineLvl w:val="2"/>
    </w:pPr>
    <w:rPr>
      <w:rFonts w:ascii="黑体" w:eastAsia="黑体"/>
      <w:sz w:val="21"/>
      <w:szCs w:val="21"/>
    </w:rPr>
  </w:style>
  <w:style w:type="paragraph" w:customStyle="1" w:styleId="a1">
    <w:name w:val="附录表标号"/>
    <w:basedOn w:val="a2"/>
    <w:next w:val="ad"/>
    <w:qFormat/>
    <w:pPr>
      <w:numPr>
        <w:numId w:val="2"/>
      </w:numPr>
      <w:tabs>
        <w:tab w:val="clear" w:pos="0"/>
      </w:tabs>
      <w:spacing w:line="14" w:lineRule="exact"/>
      <w:ind w:left="811" w:hanging="448"/>
      <w:jc w:val="center"/>
      <w:outlineLvl w:val="0"/>
    </w:pPr>
    <w:rPr>
      <w:color w:val="FFFFFF"/>
    </w:rPr>
  </w:style>
  <w:style w:type="paragraph" w:customStyle="1" w:styleId="af">
    <w:name w:val="终结线"/>
    <w:basedOn w:val="a2"/>
    <w:qFormat/>
    <w:pPr>
      <w:framePr w:hSpace="181" w:vSpace="181" w:wrap="around" w:vAnchor="text" w:hAnchor="margin" w:xAlign="center" w:y="285"/>
    </w:pPr>
  </w:style>
  <w:style w:type="character" w:customStyle="1" w:styleId="a8">
    <w:name w:val="批注框文本 字符"/>
    <w:basedOn w:val="a3"/>
    <w:link w:val="a7"/>
    <w:uiPriority w:val="99"/>
    <w:semiHidden/>
    <w:qFormat/>
    <w:rPr>
      <w:kern w:val="2"/>
      <w:sz w:val="18"/>
      <w:szCs w:val="18"/>
    </w:rPr>
  </w:style>
  <w:style w:type="character" w:customStyle="1" w:styleId="ac">
    <w:name w:val="页眉 字符"/>
    <w:basedOn w:val="a3"/>
    <w:link w:val="ab"/>
    <w:uiPriority w:val="99"/>
    <w:qFormat/>
    <w:rPr>
      <w:kern w:val="2"/>
      <w:sz w:val="18"/>
      <w:szCs w:val="18"/>
    </w:rPr>
  </w:style>
  <w:style w:type="character" w:styleId="af0">
    <w:name w:val="annotation reference"/>
    <w:basedOn w:val="a3"/>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1110</Words>
  <Characters>1345</Characters>
  <Application>Microsoft Office Word</Application>
  <DocSecurity>0</DocSecurity>
  <Lines>192</Lines>
  <Paragraphs>188</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fujiawen@cawd.org.cn</dc:creator>
  <cp:lastModifiedBy>li xiaoang</cp:lastModifiedBy>
  <cp:revision>68</cp:revision>
  <cp:lastPrinted>2021-03-03T22:20:00Z</cp:lastPrinted>
  <dcterms:created xsi:type="dcterms:W3CDTF">2020-08-18T14:21:00Z</dcterms:created>
  <dcterms:modified xsi:type="dcterms:W3CDTF">2021-03-15T02:02:00Z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